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rsidP="00650476"/>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50476">
            <w:pPr>
              <w:pStyle w:val="Infotext"/>
              <w:ind w:left="360"/>
              <w:rPr>
                <w:rFonts w:ascii="Arial Black" w:hAnsi="Arial Black"/>
                <w:color w:val="999999"/>
                <w:sz w:val="36"/>
                <w:szCs w:val="36"/>
              </w:rPr>
            </w:pPr>
          </w:p>
          <w:p w:rsidR="00513FB9" w:rsidRDefault="00BF4563" w:rsidP="00650476">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3AAFD16" wp14:editId="01BC2E0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50476">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rsidP="00650476">
            <w:pPr>
              <w:pStyle w:val="Infotext"/>
              <w:ind w:left="360"/>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rsidP="00650476">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650476">
            <w:pPr>
              <w:pStyle w:val="Infotext"/>
              <w:ind w:left="360"/>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rsidP="00650476">
            <w:pPr>
              <w:pStyle w:val="Infotext"/>
              <w:ind w:left="360"/>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rsidP="00650476">
            <w:pPr>
              <w:pStyle w:val="Infotext"/>
              <w:rPr>
                <w:rFonts w:ascii="Arial Black" w:hAnsi="Arial Black" w:cs="Arial"/>
              </w:rPr>
            </w:pPr>
          </w:p>
        </w:tc>
        <w:tc>
          <w:tcPr>
            <w:tcW w:w="5508" w:type="dxa"/>
            <w:gridSpan w:val="2"/>
            <w:tcBorders>
              <w:top w:val="single" w:sz="18" w:space="0" w:color="auto"/>
            </w:tcBorders>
          </w:tcPr>
          <w:p w:rsidR="002A2389" w:rsidRDefault="00357AC1" w:rsidP="00B31717">
            <w:pPr>
              <w:pStyle w:val="Infotext"/>
              <w:ind w:left="360"/>
              <w:rPr>
                <w:rFonts w:cs="Arial"/>
              </w:rPr>
            </w:pPr>
            <w:r>
              <w:rPr>
                <w:rFonts w:cs="Arial"/>
              </w:rPr>
              <w:t>25 July 2019</w:t>
            </w:r>
          </w:p>
        </w:tc>
      </w:tr>
      <w:tr w:rsidR="002A2389" w:rsidTr="00513FB9">
        <w:tc>
          <w:tcPr>
            <w:tcW w:w="3456" w:type="dxa"/>
          </w:tcPr>
          <w:p w:rsidR="002A2389" w:rsidRPr="00F92398" w:rsidRDefault="002A2389" w:rsidP="00650476">
            <w:pPr>
              <w:pStyle w:val="Infotext"/>
              <w:ind w:left="360"/>
              <w:rPr>
                <w:rFonts w:ascii="Arial Black" w:hAnsi="Arial Black" w:cs="Arial"/>
              </w:rPr>
            </w:pPr>
            <w:r w:rsidRPr="00F92398">
              <w:rPr>
                <w:rFonts w:ascii="Arial Black" w:hAnsi="Arial Black" w:cs="Arial"/>
              </w:rPr>
              <w:t>Subject:</w:t>
            </w:r>
          </w:p>
          <w:p w:rsidR="002A2389" w:rsidRPr="00F92398" w:rsidRDefault="002A2389" w:rsidP="00650476">
            <w:pPr>
              <w:pStyle w:val="Infotext"/>
              <w:rPr>
                <w:rFonts w:ascii="Arial Black" w:hAnsi="Arial Black"/>
              </w:rPr>
            </w:pPr>
          </w:p>
        </w:tc>
        <w:tc>
          <w:tcPr>
            <w:tcW w:w="5508" w:type="dxa"/>
            <w:gridSpan w:val="2"/>
          </w:tcPr>
          <w:p w:rsidR="002A2389" w:rsidRDefault="00357AC1" w:rsidP="00650476">
            <w:pPr>
              <w:pStyle w:val="Infotext"/>
              <w:ind w:left="360"/>
            </w:pPr>
            <w:r>
              <w:t xml:space="preserve">SEND Strategy, </w:t>
            </w:r>
            <w:r w:rsidR="00DF1CF1">
              <w:t xml:space="preserve">Commissioning Plan and </w:t>
            </w:r>
            <w:r w:rsidR="0063618B">
              <w:t xml:space="preserve">Local Area Inspection </w:t>
            </w:r>
            <w:r w:rsidR="00DF1CF1">
              <w:t>Self E</w:t>
            </w:r>
            <w:r>
              <w:t xml:space="preserve">valuation </w:t>
            </w:r>
          </w:p>
          <w:p w:rsidR="00B37EA8" w:rsidRDefault="00B37EA8" w:rsidP="00650476">
            <w:pPr>
              <w:pStyle w:val="Infotext"/>
              <w:ind w:left="360"/>
              <w:rPr>
                <w:rFonts w:cs="Arial"/>
              </w:rPr>
            </w:pPr>
          </w:p>
        </w:tc>
      </w:tr>
      <w:tr w:rsidR="002A2389" w:rsidTr="00513FB9">
        <w:tc>
          <w:tcPr>
            <w:tcW w:w="3456" w:type="dxa"/>
          </w:tcPr>
          <w:p w:rsidR="002A2389" w:rsidRPr="00F92398" w:rsidRDefault="002A2389" w:rsidP="00650476">
            <w:pPr>
              <w:pStyle w:val="Infotext"/>
              <w:ind w:left="360"/>
              <w:rPr>
                <w:rFonts w:ascii="Arial Black" w:hAnsi="Arial Black" w:cs="Arial"/>
              </w:rPr>
            </w:pPr>
            <w:r w:rsidRPr="00F92398">
              <w:rPr>
                <w:rFonts w:ascii="Arial Black" w:hAnsi="Arial Black" w:cs="Arial"/>
              </w:rPr>
              <w:t>Responsible Officer:</w:t>
            </w:r>
          </w:p>
          <w:p w:rsidR="002A2389" w:rsidRPr="00F92398" w:rsidRDefault="002A2389" w:rsidP="00650476">
            <w:pPr>
              <w:pStyle w:val="Infotext"/>
              <w:rPr>
                <w:rFonts w:ascii="Arial Black" w:hAnsi="Arial Black" w:cs="Arial"/>
              </w:rPr>
            </w:pPr>
          </w:p>
        </w:tc>
        <w:tc>
          <w:tcPr>
            <w:tcW w:w="5508" w:type="dxa"/>
            <w:gridSpan w:val="2"/>
          </w:tcPr>
          <w:p w:rsidR="002A2389" w:rsidRDefault="00357AC1" w:rsidP="00650476">
            <w:pPr>
              <w:pStyle w:val="Infotext"/>
              <w:ind w:left="360"/>
              <w:rPr>
                <w:rFonts w:cs="Arial"/>
              </w:rPr>
            </w:pPr>
            <w:r>
              <w:rPr>
                <w:rFonts w:cs="Arial"/>
              </w:rPr>
              <w:t>Paul Hewitt, Corporate Director People Services</w:t>
            </w:r>
          </w:p>
          <w:p w:rsidR="00357AC1" w:rsidRDefault="00357AC1" w:rsidP="00650476">
            <w:pPr>
              <w:pStyle w:val="Infotext"/>
              <w:rPr>
                <w:rFonts w:cs="Arial"/>
              </w:rPr>
            </w:pPr>
          </w:p>
          <w:p w:rsidR="00357AC1" w:rsidRDefault="00357AC1" w:rsidP="00650476">
            <w:pPr>
              <w:pStyle w:val="Infotext"/>
              <w:ind w:left="360"/>
              <w:rPr>
                <w:rFonts w:cs="Arial"/>
              </w:rPr>
            </w:pPr>
            <w:r>
              <w:rPr>
                <w:rFonts w:cs="Arial"/>
              </w:rPr>
              <w:t xml:space="preserve">Javina Sehgal, </w:t>
            </w:r>
            <w:r w:rsidR="007C19E1">
              <w:rPr>
                <w:rFonts w:cs="Arial"/>
              </w:rPr>
              <w:t>Managing Director</w:t>
            </w:r>
            <w:r>
              <w:rPr>
                <w:rFonts w:cs="Arial"/>
              </w:rPr>
              <w:t xml:space="preserve"> Harrow CCG</w:t>
            </w:r>
          </w:p>
          <w:p w:rsidR="007D56C8" w:rsidRDefault="007D56C8" w:rsidP="00650476">
            <w:pPr>
              <w:pStyle w:val="Infotext"/>
              <w:rPr>
                <w:rFonts w:cs="Arial"/>
              </w:rPr>
            </w:pPr>
          </w:p>
        </w:tc>
      </w:tr>
      <w:tr w:rsidR="002A2389" w:rsidTr="00513FB9">
        <w:tc>
          <w:tcPr>
            <w:tcW w:w="3456" w:type="dxa"/>
          </w:tcPr>
          <w:p w:rsidR="002A2389" w:rsidRPr="00F92398" w:rsidRDefault="00BE1C78" w:rsidP="00650476">
            <w:pPr>
              <w:pStyle w:val="Infotext"/>
              <w:ind w:left="360"/>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rsidP="00650476">
            <w:pPr>
              <w:pStyle w:val="Infotext"/>
              <w:rPr>
                <w:rFonts w:ascii="Arial Black" w:hAnsi="Arial Black" w:cs="Arial"/>
              </w:rPr>
            </w:pPr>
          </w:p>
        </w:tc>
        <w:tc>
          <w:tcPr>
            <w:tcW w:w="5508" w:type="dxa"/>
            <w:gridSpan w:val="2"/>
          </w:tcPr>
          <w:p w:rsidR="002A2389" w:rsidRDefault="002A2389" w:rsidP="00650476">
            <w:pPr>
              <w:pStyle w:val="Infotext"/>
              <w:ind w:left="360"/>
              <w:rPr>
                <w:rFonts w:cs="Arial"/>
              </w:rPr>
            </w:pPr>
            <w:r>
              <w:rPr>
                <w:rFonts w:cs="Arial"/>
              </w:rPr>
              <w:t xml:space="preserve">Yes </w:t>
            </w:r>
          </w:p>
          <w:p w:rsidR="002A2389" w:rsidRDefault="002A2389" w:rsidP="00650476">
            <w:pPr>
              <w:pStyle w:val="Infotext"/>
              <w:rPr>
                <w:rFonts w:cs="Arial"/>
              </w:rPr>
            </w:pPr>
          </w:p>
        </w:tc>
      </w:tr>
      <w:tr w:rsidR="00A51FAE" w:rsidTr="00513FB9">
        <w:tc>
          <w:tcPr>
            <w:tcW w:w="3456" w:type="dxa"/>
          </w:tcPr>
          <w:p w:rsidR="00A51FAE" w:rsidRDefault="00A51FAE" w:rsidP="00650476">
            <w:pPr>
              <w:pStyle w:val="Infotext"/>
              <w:ind w:left="360"/>
              <w:rPr>
                <w:rFonts w:ascii="Arial Black" w:hAnsi="Arial Black" w:cs="Arial"/>
              </w:rPr>
            </w:pPr>
            <w:r>
              <w:rPr>
                <w:rFonts w:ascii="Arial Black" w:hAnsi="Arial Black" w:cs="Arial"/>
              </w:rPr>
              <w:t>Wards affected:</w:t>
            </w:r>
          </w:p>
          <w:p w:rsidR="00A51FAE" w:rsidRPr="00F92398" w:rsidRDefault="00A51FAE" w:rsidP="00650476">
            <w:pPr>
              <w:pStyle w:val="Infotext"/>
              <w:rPr>
                <w:rFonts w:ascii="Arial Black" w:hAnsi="Arial Black" w:cs="Arial"/>
              </w:rPr>
            </w:pPr>
          </w:p>
        </w:tc>
        <w:tc>
          <w:tcPr>
            <w:tcW w:w="5508" w:type="dxa"/>
            <w:gridSpan w:val="2"/>
          </w:tcPr>
          <w:p w:rsidR="00A51FAE" w:rsidRDefault="00357AC1" w:rsidP="00650476">
            <w:pPr>
              <w:pStyle w:val="Infotext"/>
              <w:ind w:left="360"/>
            </w:pPr>
            <w:r>
              <w:t>All Wards</w:t>
            </w:r>
            <w:r w:rsidR="00A50388">
              <w:t xml:space="preserve"> affected</w:t>
            </w:r>
            <w:r w:rsidR="00A51FAE">
              <w:t>.</w:t>
            </w:r>
          </w:p>
          <w:p w:rsidR="00A50388" w:rsidRPr="00A50388" w:rsidRDefault="00A50388" w:rsidP="00650476">
            <w:pPr>
              <w:pStyle w:val="Infotext"/>
              <w:rPr>
                <w:b/>
                <w:color w:val="FF0000"/>
              </w:rPr>
            </w:pPr>
          </w:p>
        </w:tc>
      </w:tr>
      <w:tr w:rsidR="002A2389" w:rsidTr="00513FB9">
        <w:tc>
          <w:tcPr>
            <w:tcW w:w="3456" w:type="dxa"/>
          </w:tcPr>
          <w:p w:rsidR="002A2389" w:rsidRPr="00F92398" w:rsidRDefault="002A2389" w:rsidP="00650476">
            <w:pPr>
              <w:pStyle w:val="Infotext"/>
              <w:ind w:left="360"/>
              <w:rPr>
                <w:rFonts w:ascii="Arial Black" w:hAnsi="Arial Black" w:cs="Arial"/>
              </w:rPr>
            </w:pPr>
          </w:p>
          <w:p w:rsidR="002A2389" w:rsidRPr="00F92398" w:rsidRDefault="002A2389" w:rsidP="00650476">
            <w:pPr>
              <w:pStyle w:val="Infotext"/>
              <w:ind w:left="360"/>
              <w:rPr>
                <w:rFonts w:ascii="Arial Black" w:hAnsi="Arial Black" w:cs="Arial"/>
              </w:rPr>
            </w:pPr>
            <w:r w:rsidRPr="00F92398">
              <w:rPr>
                <w:rFonts w:ascii="Arial Black" w:hAnsi="Arial Black" w:cs="Arial"/>
              </w:rPr>
              <w:t>Enclosures:</w:t>
            </w:r>
          </w:p>
          <w:p w:rsidR="002A2389" w:rsidRPr="00F92398" w:rsidRDefault="002A2389" w:rsidP="00650476">
            <w:pPr>
              <w:pStyle w:val="Infotext"/>
              <w:rPr>
                <w:rFonts w:ascii="Arial Black" w:hAnsi="Arial Black" w:cs="Arial"/>
              </w:rPr>
            </w:pPr>
          </w:p>
        </w:tc>
        <w:tc>
          <w:tcPr>
            <w:tcW w:w="5508" w:type="dxa"/>
            <w:gridSpan w:val="2"/>
          </w:tcPr>
          <w:p w:rsidR="00357AC1" w:rsidRDefault="00357AC1" w:rsidP="00650476">
            <w:pPr>
              <w:pStyle w:val="Infotext"/>
              <w:ind w:left="360"/>
            </w:pPr>
          </w:p>
          <w:p w:rsidR="002A2389" w:rsidRDefault="00357AC1" w:rsidP="00650476">
            <w:pPr>
              <w:pStyle w:val="Infotext"/>
              <w:ind w:left="360"/>
            </w:pPr>
            <w:r>
              <w:t>Annexe A: SEND Strategy</w:t>
            </w:r>
          </w:p>
          <w:p w:rsidR="00357AC1" w:rsidRDefault="009944BA" w:rsidP="00650476">
            <w:pPr>
              <w:pStyle w:val="Infotext"/>
              <w:ind w:left="360"/>
            </w:pPr>
            <w:r>
              <w:t>Annexe B: 0-25</w:t>
            </w:r>
            <w:r w:rsidR="00357AC1">
              <w:t xml:space="preserve"> Commissioning Plan</w:t>
            </w:r>
          </w:p>
          <w:p w:rsidR="00357AC1" w:rsidRDefault="00357AC1" w:rsidP="00650476">
            <w:pPr>
              <w:pStyle w:val="Infotext"/>
              <w:ind w:left="360"/>
            </w:pPr>
            <w:r>
              <w:t xml:space="preserve">Annexe C: Local Area </w:t>
            </w:r>
            <w:r w:rsidR="0063618B">
              <w:t xml:space="preserve">Inspection </w:t>
            </w:r>
            <w:r>
              <w:t>Self Evaluation</w:t>
            </w:r>
          </w:p>
        </w:tc>
      </w:tr>
    </w:tbl>
    <w:p w:rsidR="002A2389" w:rsidRDefault="002A2389" w:rsidP="00650476">
      <w:pPr>
        <w:rPr>
          <w:rFonts w:cs="Arial"/>
        </w:rPr>
      </w:pPr>
    </w:p>
    <w:p w:rsidR="002A2389" w:rsidRDefault="002A2389" w:rsidP="00650476">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50476">
            <w:pPr>
              <w:pStyle w:val="Heading1"/>
              <w:ind w:left="360"/>
            </w:pPr>
            <w:r>
              <w:t>Section 1 – Summary and Recommendations</w:t>
            </w:r>
          </w:p>
          <w:p w:rsidR="00675FCB" w:rsidRDefault="00675FCB" w:rsidP="00650476"/>
        </w:tc>
      </w:tr>
      <w:tr w:rsidR="002A2389">
        <w:tc>
          <w:tcPr>
            <w:tcW w:w="8897" w:type="dxa"/>
          </w:tcPr>
          <w:p w:rsidR="002A2389" w:rsidRDefault="002A2389" w:rsidP="00650476">
            <w:pPr>
              <w:ind w:left="360"/>
            </w:pPr>
          </w:p>
          <w:p w:rsidR="002A2389" w:rsidRPr="009944BA" w:rsidRDefault="00357AC1" w:rsidP="009944BA">
            <w:pPr>
              <w:rPr>
                <w:color w:val="0000FF"/>
                <w:szCs w:val="24"/>
              </w:rPr>
            </w:pPr>
            <w:r w:rsidRPr="009944BA">
              <w:rPr>
                <w:color w:val="000000"/>
                <w:szCs w:val="24"/>
              </w:rPr>
              <w:t xml:space="preserve">This report presents a suite of </w:t>
            </w:r>
            <w:r w:rsidR="00DF1CF1" w:rsidRPr="009944BA">
              <w:rPr>
                <w:color w:val="000000"/>
                <w:szCs w:val="24"/>
              </w:rPr>
              <w:t xml:space="preserve">strategic </w:t>
            </w:r>
            <w:r w:rsidRPr="009944BA">
              <w:rPr>
                <w:color w:val="000000"/>
                <w:szCs w:val="24"/>
              </w:rPr>
              <w:t>documents related to children and young people with special educational needs and disabilities. The SEND Strategy, the 0-</w:t>
            </w:r>
            <w:r w:rsidR="009944BA">
              <w:rPr>
                <w:color w:val="000000"/>
                <w:szCs w:val="24"/>
              </w:rPr>
              <w:t>25</w:t>
            </w:r>
            <w:r w:rsidRPr="009944BA">
              <w:rPr>
                <w:color w:val="000000"/>
                <w:szCs w:val="24"/>
              </w:rPr>
              <w:t xml:space="preserve"> Commissioning Plan and the Local Area Self Evaluation together detail the context for SEND in Harrow, the areas of strength and those </w:t>
            </w:r>
            <w:r w:rsidR="00117A6D" w:rsidRPr="009944BA">
              <w:rPr>
                <w:color w:val="000000"/>
                <w:szCs w:val="24"/>
              </w:rPr>
              <w:t xml:space="preserve">to prioritise </w:t>
            </w:r>
            <w:r w:rsidR="00DF1CF1" w:rsidRPr="009944BA">
              <w:rPr>
                <w:color w:val="000000"/>
                <w:szCs w:val="24"/>
              </w:rPr>
              <w:t xml:space="preserve">for </w:t>
            </w:r>
            <w:r w:rsidR="00117A6D" w:rsidRPr="009944BA">
              <w:rPr>
                <w:color w:val="000000"/>
                <w:szCs w:val="24"/>
              </w:rPr>
              <w:t>improvement and the strategic and commissioning priorities.</w:t>
            </w:r>
          </w:p>
          <w:p w:rsidR="002A2389" w:rsidRPr="009944BA" w:rsidRDefault="002A2389" w:rsidP="009944BA">
            <w:pPr>
              <w:pStyle w:val="Heading2"/>
              <w:rPr>
                <w:sz w:val="24"/>
                <w:szCs w:val="24"/>
              </w:rPr>
            </w:pPr>
          </w:p>
          <w:p w:rsidR="002A2389" w:rsidRPr="009944BA" w:rsidRDefault="002A2389" w:rsidP="009944BA">
            <w:pPr>
              <w:pStyle w:val="Heading2"/>
              <w:rPr>
                <w:sz w:val="24"/>
                <w:szCs w:val="24"/>
              </w:rPr>
            </w:pPr>
            <w:r w:rsidRPr="009944BA">
              <w:rPr>
                <w:sz w:val="24"/>
                <w:szCs w:val="24"/>
              </w:rPr>
              <w:t xml:space="preserve">Recommendations: </w:t>
            </w:r>
          </w:p>
          <w:p w:rsidR="00117A6D" w:rsidRPr="009944BA" w:rsidRDefault="002A2389" w:rsidP="009944BA">
            <w:pPr>
              <w:rPr>
                <w:szCs w:val="24"/>
              </w:rPr>
            </w:pPr>
            <w:r w:rsidRPr="009944BA">
              <w:rPr>
                <w:szCs w:val="24"/>
              </w:rPr>
              <w:t xml:space="preserve">The </w:t>
            </w:r>
            <w:r w:rsidR="00BE1C78" w:rsidRPr="009944BA">
              <w:rPr>
                <w:szCs w:val="24"/>
              </w:rPr>
              <w:t>Board</w:t>
            </w:r>
            <w:r w:rsidR="00DF1CF1" w:rsidRPr="009944BA">
              <w:rPr>
                <w:szCs w:val="24"/>
              </w:rPr>
              <w:t xml:space="preserve"> is requested to n</w:t>
            </w:r>
            <w:r w:rsidR="00117A6D" w:rsidRPr="009944BA">
              <w:rPr>
                <w:szCs w:val="24"/>
              </w:rPr>
              <w:t>ote the report and related documents.</w:t>
            </w:r>
          </w:p>
          <w:p w:rsidR="002A2389" w:rsidRPr="009944BA" w:rsidRDefault="002A2389" w:rsidP="009944BA">
            <w:pPr>
              <w:rPr>
                <w:szCs w:val="24"/>
              </w:rPr>
            </w:pPr>
          </w:p>
          <w:p w:rsidR="002A2389" w:rsidRDefault="002A2389" w:rsidP="00650476">
            <w:pPr>
              <w:jc w:val="both"/>
              <w:rPr>
                <w:rFonts w:cs="Arial"/>
              </w:rPr>
            </w:pPr>
          </w:p>
        </w:tc>
      </w:tr>
    </w:tbl>
    <w:p w:rsidR="00FF71E5" w:rsidRDefault="00FF71E5" w:rsidP="00650476">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rsidP="00650476">
      <w:pPr>
        <w:pStyle w:val="Heading1"/>
        <w:jc w:val="both"/>
      </w:pPr>
      <w:r>
        <w:lastRenderedPageBreak/>
        <w:br w:type="page"/>
      </w:r>
      <w:r>
        <w:lastRenderedPageBreak/>
        <w:t>Section 2 – Report</w:t>
      </w:r>
    </w:p>
    <w:p w:rsidR="00BE1C78" w:rsidRPr="00DF1CF1" w:rsidRDefault="00BE1C78" w:rsidP="00650476">
      <w:pPr>
        <w:pStyle w:val="Heading2"/>
      </w:pPr>
    </w:p>
    <w:p w:rsidR="002A2389" w:rsidRPr="00DF1CF1" w:rsidRDefault="002A2389" w:rsidP="00650476">
      <w:pPr>
        <w:pStyle w:val="Heading2"/>
      </w:pPr>
      <w:r w:rsidRPr="00DF1CF1">
        <w:t xml:space="preserve">Background </w:t>
      </w:r>
    </w:p>
    <w:p w:rsidR="00117A6D" w:rsidRDefault="00117A6D" w:rsidP="00650476">
      <w:pPr>
        <w:numPr>
          <w:ilvl w:val="0"/>
          <w:numId w:val="26"/>
        </w:numPr>
        <w:ind w:hanging="720"/>
      </w:pPr>
      <w:r w:rsidRPr="00DA2474">
        <w:t xml:space="preserve">Harrow </w:t>
      </w:r>
      <w:r>
        <w:t xml:space="preserve">Council </w:t>
      </w:r>
      <w:r w:rsidRPr="00DA2474">
        <w:t xml:space="preserve">and its partners, including </w:t>
      </w:r>
      <w:r>
        <w:t xml:space="preserve">parents, </w:t>
      </w:r>
      <w:r w:rsidRPr="00DA2474">
        <w:t xml:space="preserve">schools, colleges, health and </w:t>
      </w:r>
      <w:r>
        <w:t xml:space="preserve">the </w:t>
      </w:r>
      <w:r w:rsidRPr="00DA2474">
        <w:t xml:space="preserve">voluntary sector, are ambitious for all children and young people and are committed to supporting them to achieve their best outcomes. </w:t>
      </w:r>
      <w:r>
        <w:t xml:space="preserve"> </w:t>
      </w:r>
      <w:r w:rsidRPr="00DA2474">
        <w:t>For children and young people with special educational needs aged 0-25, this requires partners, to work together to ensure that there is high quality, integrated and inclusive education, and support that is flexible and responsive</w:t>
      </w:r>
      <w:r w:rsidR="00731E89" w:rsidRPr="00E03186">
        <w:rPr>
          <w:rFonts w:cs="Arial"/>
        </w:rPr>
        <w:t xml:space="preserve"> as part of a life course for those with the most complex needs</w:t>
      </w:r>
      <w:r w:rsidR="00731E89">
        <w:rPr>
          <w:rFonts w:cs="Arial"/>
        </w:rPr>
        <w:t>.</w:t>
      </w:r>
    </w:p>
    <w:p w:rsidR="00117A6D" w:rsidRDefault="00117A6D" w:rsidP="00650476">
      <w:pPr>
        <w:ind w:left="360" w:hanging="720"/>
      </w:pPr>
    </w:p>
    <w:p w:rsidR="00AC533E" w:rsidRDefault="00AC533E" w:rsidP="00650476">
      <w:pPr>
        <w:numPr>
          <w:ilvl w:val="0"/>
          <w:numId w:val="26"/>
        </w:numPr>
        <w:ind w:hanging="720"/>
      </w:pPr>
      <w:r>
        <w:t>There is a</w:t>
      </w:r>
      <w:r w:rsidR="008D6411">
        <w:t xml:space="preserve"> good foundation in Harrow that partners, including the Local Authority, Clinical Commissioning Group (CCG), Harrow Parents Forum (HPF) and schools have established and are committed to continue to build on</w:t>
      </w:r>
      <w:r w:rsidR="00731E89">
        <w:t xml:space="preserve">. This is </w:t>
      </w:r>
      <w:r w:rsidR="00486BE5">
        <w:t>important</w:t>
      </w:r>
      <w:r w:rsidR="00731E89">
        <w:t xml:space="preserve"> because there are different roles and responsibilities and statutory duties across th</w:t>
      </w:r>
      <w:r w:rsidR="00486BE5">
        <w:t xml:space="preserve">e </w:t>
      </w:r>
      <w:r w:rsidR="00731E89">
        <w:t>partnership</w:t>
      </w:r>
      <w:r w:rsidR="00486BE5">
        <w:t>,</w:t>
      </w:r>
      <w:r w:rsidR="00731E89">
        <w:t xml:space="preserve"> </w:t>
      </w:r>
      <w:r w:rsidR="00486BE5">
        <w:t xml:space="preserve">which at times </w:t>
      </w:r>
      <w:r w:rsidR="00ED3EF4">
        <w:t xml:space="preserve">present </w:t>
      </w:r>
      <w:r w:rsidR="00486BE5">
        <w:t>challeng</w:t>
      </w:r>
      <w:r w:rsidR="00ED3EF4">
        <w:t>es</w:t>
      </w:r>
      <w:r w:rsidR="00486BE5">
        <w:t xml:space="preserve"> and their resolution is essential</w:t>
      </w:r>
      <w:r w:rsidR="006F0D41">
        <w:t xml:space="preserve"> to meet i</w:t>
      </w:r>
      <w:r w:rsidR="006F0D41" w:rsidRPr="006F0D41">
        <w:rPr>
          <w:rFonts w:cs="Arial"/>
          <w:szCs w:val="24"/>
        </w:rPr>
        <w:t xml:space="preserve">ncreasing and more complex needs </w:t>
      </w:r>
      <w:r w:rsidR="006F0D41">
        <w:rPr>
          <w:rFonts w:cs="Arial"/>
          <w:szCs w:val="24"/>
        </w:rPr>
        <w:t>of children and young people</w:t>
      </w:r>
      <w:r w:rsidR="00486BE5">
        <w:t xml:space="preserve">. </w:t>
      </w:r>
    </w:p>
    <w:p w:rsidR="00AC533E" w:rsidRDefault="00AC533E" w:rsidP="00650476">
      <w:pPr>
        <w:pStyle w:val="ListParagraph"/>
        <w:ind w:hanging="720"/>
      </w:pPr>
    </w:p>
    <w:p w:rsidR="002B3C43" w:rsidRDefault="00ED3EF4" w:rsidP="00650476">
      <w:pPr>
        <w:pStyle w:val="ListParagraph"/>
        <w:numPr>
          <w:ilvl w:val="0"/>
          <w:numId w:val="26"/>
        </w:numPr>
        <w:ind w:hanging="720"/>
        <w:rPr>
          <w:rFonts w:cs="Arial"/>
          <w:szCs w:val="24"/>
        </w:rPr>
      </w:pPr>
      <w:r>
        <w:rPr>
          <w:rFonts w:cs="Arial"/>
          <w:szCs w:val="24"/>
        </w:rPr>
        <w:t>In addition, th</w:t>
      </w:r>
      <w:r w:rsidR="00AC533E" w:rsidRPr="006F0D41">
        <w:rPr>
          <w:rFonts w:cs="Arial"/>
          <w:szCs w:val="24"/>
        </w:rPr>
        <w:t>is is a period of considerable change across the public sector</w:t>
      </w:r>
      <w:r w:rsidR="006F0D41">
        <w:rPr>
          <w:rFonts w:cs="Arial"/>
          <w:szCs w:val="24"/>
        </w:rPr>
        <w:t>, nationally and locally</w:t>
      </w:r>
      <w:r w:rsidR="00AC533E" w:rsidRPr="006F0D41">
        <w:rPr>
          <w:rFonts w:cs="Arial"/>
          <w:szCs w:val="24"/>
        </w:rPr>
        <w:t xml:space="preserve">. </w:t>
      </w:r>
      <w:r>
        <w:rPr>
          <w:rFonts w:cs="Arial"/>
          <w:szCs w:val="24"/>
        </w:rPr>
        <w:t>The</w:t>
      </w:r>
      <w:r w:rsidR="002B3C43">
        <w:rPr>
          <w:rFonts w:cs="Arial"/>
          <w:szCs w:val="24"/>
        </w:rPr>
        <w:t xml:space="preserve"> </w:t>
      </w:r>
      <w:r w:rsidR="002B3C43" w:rsidRPr="00CD6015">
        <w:rPr>
          <w:rFonts w:cs="Arial"/>
          <w:szCs w:val="24"/>
        </w:rPr>
        <w:t xml:space="preserve">education landscape is already changing with more diverse providers, increasing and changing needs </w:t>
      </w:r>
      <w:r>
        <w:rPr>
          <w:rFonts w:cs="Arial"/>
          <w:szCs w:val="24"/>
        </w:rPr>
        <w:t xml:space="preserve">of children and young people </w:t>
      </w:r>
      <w:r w:rsidR="002B3C43" w:rsidRPr="00CD6015">
        <w:rPr>
          <w:rFonts w:cs="Arial"/>
          <w:szCs w:val="24"/>
        </w:rPr>
        <w:t xml:space="preserve">and the new national funding formula implemented from 2018 has significant </w:t>
      </w:r>
      <w:r>
        <w:rPr>
          <w:rFonts w:cs="Arial"/>
          <w:szCs w:val="24"/>
        </w:rPr>
        <w:t xml:space="preserve">financial </w:t>
      </w:r>
      <w:r w:rsidR="002B3C43" w:rsidRPr="00CD6015">
        <w:rPr>
          <w:rFonts w:cs="Arial"/>
          <w:szCs w:val="24"/>
        </w:rPr>
        <w:t>implications</w:t>
      </w:r>
      <w:r w:rsidR="002B3C43">
        <w:rPr>
          <w:rFonts w:cs="Arial"/>
          <w:szCs w:val="24"/>
        </w:rPr>
        <w:t>.</w:t>
      </w:r>
    </w:p>
    <w:p w:rsidR="002B3C43" w:rsidRPr="002B3C43" w:rsidRDefault="002B3C43" w:rsidP="00650476">
      <w:pPr>
        <w:pStyle w:val="ListParagraph"/>
        <w:ind w:hanging="720"/>
        <w:rPr>
          <w:rFonts w:cs="Arial"/>
          <w:szCs w:val="24"/>
        </w:rPr>
      </w:pPr>
    </w:p>
    <w:p w:rsidR="002B3C43" w:rsidRPr="00F76970" w:rsidRDefault="00F76970" w:rsidP="00650476">
      <w:pPr>
        <w:pStyle w:val="ListParagraph"/>
        <w:numPr>
          <w:ilvl w:val="0"/>
          <w:numId w:val="26"/>
        </w:numPr>
        <w:ind w:hanging="720"/>
        <w:rPr>
          <w:rFonts w:cs="Arial"/>
          <w:szCs w:val="24"/>
        </w:rPr>
      </w:pPr>
      <w:r w:rsidRPr="00F76970">
        <w:rPr>
          <w:rFonts w:cs="Arial"/>
          <w:szCs w:val="24"/>
        </w:rPr>
        <w:t xml:space="preserve">The implementation of the </w:t>
      </w:r>
      <w:r w:rsidR="00B37EA8" w:rsidRPr="00F76970">
        <w:rPr>
          <w:rFonts w:cs="Arial"/>
          <w:bCs/>
          <w:szCs w:val="24"/>
        </w:rPr>
        <w:t xml:space="preserve">NHS Long Term Plan </w:t>
      </w:r>
      <w:r w:rsidRPr="00F76970">
        <w:rPr>
          <w:rFonts w:cs="Arial"/>
          <w:bCs/>
          <w:szCs w:val="24"/>
        </w:rPr>
        <w:t>(</w:t>
      </w:r>
      <w:r w:rsidR="00B37EA8" w:rsidRPr="00F76970">
        <w:rPr>
          <w:rFonts w:cs="Arial"/>
          <w:szCs w:val="24"/>
        </w:rPr>
        <w:t xml:space="preserve">January 2019) </w:t>
      </w:r>
      <w:r w:rsidRPr="00F76970">
        <w:rPr>
          <w:rFonts w:cs="Arial"/>
          <w:szCs w:val="24"/>
        </w:rPr>
        <w:t>with a central focus on s</w:t>
      </w:r>
      <w:r w:rsidR="00B37EA8" w:rsidRPr="00F76970">
        <w:rPr>
          <w:rFonts w:cs="Arial"/>
          <w:szCs w:val="24"/>
        </w:rPr>
        <w:t xml:space="preserve">ervice integration delivered locally through collaborative arrangements between </w:t>
      </w:r>
      <w:r w:rsidRPr="00F76970">
        <w:rPr>
          <w:rFonts w:cs="Arial"/>
          <w:szCs w:val="24"/>
        </w:rPr>
        <w:t xml:space="preserve">different providers. Within the </w:t>
      </w:r>
      <w:r w:rsidR="00B37EA8" w:rsidRPr="00F76970">
        <w:rPr>
          <w:rFonts w:cs="Arial"/>
          <w:bCs/>
          <w:szCs w:val="24"/>
        </w:rPr>
        <w:t>North West London STP</w:t>
      </w:r>
      <w:r w:rsidRPr="00F76970">
        <w:rPr>
          <w:rFonts w:cs="Arial"/>
          <w:bCs/>
          <w:szCs w:val="24"/>
        </w:rPr>
        <w:t xml:space="preserve"> this will create a single CCG across 9 now separate CCGs and develop a </w:t>
      </w:r>
      <w:r w:rsidR="00B37EA8" w:rsidRPr="00F76970">
        <w:rPr>
          <w:rFonts w:cs="Arial"/>
          <w:szCs w:val="24"/>
        </w:rPr>
        <w:t>North West London I</w:t>
      </w:r>
      <w:r w:rsidRPr="00F76970">
        <w:rPr>
          <w:rFonts w:cs="Arial"/>
          <w:szCs w:val="24"/>
        </w:rPr>
        <w:t>ntegrated Care System (I</w:t>
      </w:r>
      <w:r w:rsidR="00B37EA8" w:rsidRPr="00F76970">
        <w:rPr>
          <w:rFonts w:cs="Arial"/>
          <w:szCs w:val="24"/>
        </w:rPr>
        <w:t>CS</w:t>
      </w:r>
      <w:r w:rsidRPr="00F76970">
        <w:rPr>
          <w:rFonts w:cs="Arial"/>
          <w:szCs w:val="24"/>
        </w:rPr>
        <w:t>)</w:t>
      </w:r>
      <w:r w:rsidR="00B37EA8" w:rsidRPr="00F76970">
        <w:rPr>
          <w:rFonts w:cs="Arial"/>
          <w:szCs w:val="24"/>
        </w:rPr>
        <w:t xml:space="preserve"> area</w:t>
      </w:r>
      <w:r w:rsidRPr="00F76970">
        <w:rPr>
          <w:rFonts w:cs="Arial"/>
          <w:szCs w:val="24"/>
        </w:rPr>
        <w:t xml:space="preserve">. </w:t>
      </w:r>
      <w:r w:rsidR="002B3C43" w:rsidRPr="00F76970">
        <w:rPr>
          <w:rFonts w:cs="Arial"/>
          <w:bCs/>
          <w:szCs w:val="24"/>
        </w:rPr>
        <w:t>Primary Care Networks</w:t>
      </w:r>
      <w:r w:rsidRPr="00F76970">
        <w:rPr>
          <w:rFonts w:cs="Arial"/>
          <w:bCs/>
          <w:szCs w:val="24"/>
        </w:rPr>
        <w:t xml:space="preserve"> will reconfigure GP practices. </w:t>
      </w:r>
    </w:p>
    <w:p w:rsidR="002B3C43" w:rsidRPr="002B3C43" w:rsidRDefault="002B3C43" w:rsidP="00650476">
      <w:pPr>
        <w:pStyle w:val="ListParagraph"/>
        <w:ind w:hanging="720"/>
        <w:rPr>
          <w:rFonts w:cs="Arial"/>
          <w:szCs w:val="24"/>
        </w:rPr>
      </w:pPr>
    </w:p>
    <w:p w:rsidR="00753D70" w:rsidRDefault="00753D70" w:rsidP="00650476">
      <w:pPr>
        <w:pStyle w:val="ListParagraph"/>
        <w:numPr>
          <w:ilvl w:val="0"/>
          <w:numId w:val="26"/>
        </w:numPr>
        <w:ind w:hanging="720"/>
        <w:rPr>
          <w:rFonts w:cs="Arial"/>
        </w:rPr>
      </w:pPr>
      <w:r w:rsidRPr="00753D70">
        <w:rPr>
          <w:rFonts w:cs="Arial"/>
          <w:szCs w:val="24"/>
        </w:rPr>
        <w:t xml:space="preserve">The Local Authority continues to embed the SEND Reforms and, with partners is preparing for the Local Area Inspection. There are continued pressures on SEND funding and therefore ensuring that the available funding is maximised to secure value for money and good outcomes is essential. Cabinet agreed the </w:t>
      </w:r>
      <w:r w:rsidRPr="00753D70">
        <w:rPr>
          <w:rFonts w:cs="Arial"/>
        </w:rPr>
        <w:t xml:space="preserve">SEND Strategy in February </w:t>
      </w:r>
      <w:r>
        <w:rPr>
          <w:rFonts w:cs="Arial"/>
        </w:rPr>
        <w:t xml:space="preserve">2019 which sets out the vision and four strategic priorities for SEND and is now being implemented. </w:t>
      </w:r>
    </w:p>
    <w:p w:rsidR="00753D70" w:rsidRPr="00753D70" w:rsidRDefault="00753D70" w:rsidP="00650476">
      <w:pPr>
        <w:pStyle w:val="ListParagraph"/>
        <w:ind w:hanging="720"/>
        <w:rPr>
          <w:rFonts w:cs="Arial"/>
        </w:rPr>
      </w:pPr>
    </w:p>
    <w:p w:rsidR="00117A6D" w:rsidRDefault="00DF1CF1" w:rsidP="00650476">
      <w:pPr>
        <w:numPr>
          <w:ilvl w:val="0"/>
          <w:numId w:val="26"/>
        </w:numPr>
        <w:ind w:hanging="720"/>
      </w:pPr>
      <w:r>
        <w:t xml:space="preserve">This report presents the Health and Wellbeing Board with </w:t>
      </w:r>
      <w:r w:rsidR="00753D70">
        <w:t xml:space="preserve">three complementary and interrelated documents that together provide the context </w:t>
      </w:r>
      <w:r w:rsidR="00117A6D">
        <w:t xml:space="preserve">SEND </w:t>
      </w:r>
      <w:r w:rsidR="00DF45E8">
        <w:t>in Harrow: The SEND Strategy and four Strategic Priorities; the 0-</w:t>
      </w:r>
      <w:r w:rsidR="009944BA">
        <w:t>25</w:t>
      </w:r>
      <w:r w:rsidR="00DF45E8">
        <w:t xml:space="preserve"> Commissioning Plan highlighting </w:t>
      </w:r>
      <w:r w:rsidR="00650476">
        <w:t>the joint working with CCG</w:t>
      </w:r>
      <w:r w:rsidR="00DF45E8">
        <w:t>, LA and partners to commission innovative, effective and quality services for SEND and the Local Area Inspection Self Evaluation (SEF) providing a robust self assessment of strengths areas for improvement.</w:t>
      </w:r>
    </w:p>
    <w:p w:rsidR="00117A6D" w:rsidRDefault="00117A6D" w:rsidP="00650476">
      <w:pPr>
        <w:ind w:left="360"/>
      </w:pPr>
    </w:p>
    <w:p w:rsidR="00117A6D" w:rsidRDefault="00117A6D" w:rsidP="00650476">
      <w:pPr>
        <w:pStyle w:val="Heading2"/>
      </w:pPr>
      <w:r w:rsidRPr="0030477F">
        <w:t>Options considered</w:t>
      </w:r>
    </w:p>
    <w:p w:rsidR="00117A6D" w:rsidRPr="00A566C6" w:rsidRDefault="00117A6D" w:rsidP="00650476"/>
    <w:p w:rsidR="00117A6D" w:rsidRDefault="00117A6D" w:rsidP="00650476">
      <w:pPr>
        <w:numPr>
          <w:ilvl w:val="0"/>
          <w:numId w:val="26"/>
        </w:numPr>
        <w:autoSpaceDE w:val="0"/>
        <w:autoSpaceDN w:val="0"/>
        <w:adjustRightInd w:val="0"/>
        <w:ind w:hanging="720"/>
        <w:rPr>
          <w:rFonts w:cs="Arial"/>
          <w:szCs w:val="24"/>
          <w:lang w:eastAsia="en-GB"/>
        </w:rPr>
      </w:pPr>
      <w:r>
        <w:rPr>
          <w:rFonts w:cs="Arial"/>
          <w:szCs w:val="24"/>
          <w:lang w:eastAsia="en-GB"/>
        </w:rPr>
        <w:t xml:space="preserve">The following options were considered: </w:t>
      </w:r>
    </w:p>
    <w:p w:rsidR="00117A6D" w:rsidRDefault="00117A6D" w:rsidP="00650476">
      <w:pPr>
        <w:autoSpaceDE w:val="0"/>
        <w:autoSpaceDN w:val="0"/>
        <w:adjustRightInd w:val="0"/>
        <w:rPr>
          <w:rFonts w:cs="Arial"/>
          <w:szCs w:val="24"/>
          <w:lang w:eastAsia="en-GB"/>
        </w:rPr>
      </w:pPr>
    </w:p>
    <w:p w:rsidR="00117A6D" w:rsidRDefault="00117A6D" w:rsidP="003F5A1D">
      <w:pPr>
        <w:autoSpaceDE w:val="0"/>
        <w:autoSpaceDN w:val="0"/>
        <w:adjustRightInd w:val="0"/>
        <w:ind w:left="720"/>
        <w:rPr>
          <w:rFonts w:cs="Arial"/>
          <w:szCs w:val="24"/>
          <w:lang w:eastAsia="en-GB"/>
        </w:rPr>
      </w:pPr>
      <w:r>
        <w:rPr>
          <w:rFonts w:cs="Arial"/>
          <w:szCs w:val="24"/>
          <w:lang w:eastAsia="en-GB"/>
        </w:rPr>
        <w:t xml:space="preserve">Option: 1 Do nothing. </w:t>
      </w:r>
    </w:p>
    <w:p w:rsidR="00117A6D" w:rsidRPr="003F5A1D" w:rsidRDefault="00117A6D" w:rsidP="003F5A1D">
      <w:pPr>
        <w:autoSpaceDE w:val="0"/>
        <w:autoSpaceDN w:val="0"/>
        <w:adjustRightInd w:val="0"/>
        <w:ind w:left="709"/>
        <w:rPr>
          <w:rFonts w:cs="Arial"/>
          <w:szCs w:val="24"/>
          <w:lang w:eastAsia="en-GB"/>
        </w:rPr>
      </w:pPr>
      <w:r w:rsidRPr="003F5A1D">
        <w:rPr>
          <w:rFonts w:cs="Arial"/>
          <w:szCs w:val="24"/>
          <w:lang w:eastAsia="en-GB"/>
        </w:rPr>
        <w:t>This is not recommended, because it would fail to maximise the positive impact on provision and services for children and young people with SEND and the use of available resources.</w:t>
      </w:r>
    </w:p>
    <w:p w:rsidR="00117A6D" w:rsidRDefault="00117A6D" w:rsidP="00650476">
      <w:pPr>
        <w:autoSpaceDE w:val="0"/>
        <w:autoSpaceDN w:val="0"/>
        <w:adjustRightInd w:val="0"/>
        <w:ind w:left="426"/>
        <w:rPr>
          <w:rFonts w:cs="Arial"/>
          <w:szCs w:val="24"/>
          <w:lang w:eastAsia="en-GB"/>
        </w:rPr>
      </w:pPr>
    </w:p>
    <w:p w:rsidR="00117A6D" w:rsidRDefault="00117A6D" w:rsidP="003F5A1D">
      <w:pPr>
        <w:autoSpaceDE w:val="0"/>
        <w:autoSpaceDN w:val="0"/>
        <w:adjustRightInd w:val="0"/>
        <w:ind w:left="720"/>
        <w:rPr>
          <w:rFonts w:cs="Arial"/>
          <w:szCs w:val="24"/>
          <w:lang w:eastAsia="en-GB"/>
        </w:rPr>
      </w:pPr>
      <w:r>
        <w:rPr>
          <w:rFonts w:cs="Arial"/>
          <w:szCs w:val="24"/>
          <w:lang w:eastAsia="en-GB"/>
        </w:rPr>
        <w:t>Option 2: Continue the development and imp</w:t>
      </w:r>
      <w:r w:rsidR="00DF45E8">
        <w:rPr>
          <w:rFonts w:cs="Arial"/>
          <w:szCs w:val="24"/>
          <w:lang w:eastAsia="en-GB"/>
        </w:rPr>
        <w:t xml:space="preserve">lementation of the SEND Strategy, </w:t>
      </w:r>
      <w:r w:rsidR="00B2366F">
        <w:rPr>
          <w:rFonts w:cs="Arial"/>
          <w:szCs w:val="24"/>
          <w:lang w:eastAsia="en-GB"/>
        </w:rPr>
        <w:t xml:space="preserve">0-25 </w:t>
      </w:r>
      <w:r w:rsidR="00DF45E8">
        <w:rPr>
          <w:rFonts w:cs="Arial"/>
          <w:szCs w:val="24"/>
          <w:lang w:eastAsia="en-GB"/>
        </w:rPr>
        <w:t>Commissioning Plan and Local Area Inspection SEF.</w:t>
      </w:r>
    </w:p>
    <w:p w:rsidR="00117A6D" w:rsidRDefault="00117A6D" w:rsidP="00650476">
      <w:pPr>
        <w:autoSpaceDE w:val="0"/>
        <w:autoSpaceDN w:val="0"/>
        <w:adjustRightInd w:val="0"/>
        <w:rPr>
          <w:rFonts w:cs="Arial"/>
          <w:szCs w:val="24"/>
          <w:lang w:eastAsia="en-GB"/>
        </w:rPr>
      </w:pPr>
    </w:p>
    <w:p w:rsidR="00117A6D" w:rsidRDefault="00117A6D" w:rsidP="003F5A1D">
      <w:pPr>
        <w:numPr>
          <w:ilvl w:val="0"/>
          <w:numId w:val="26"/>
        </w:numPr>
        <w:autoSpaceDE w:val="0"/>
        <w:autoSpaceDN w:val="0"/>
        <w:adjustRightInd w:val="0"/>
        <w:ind w:hanging="720"/>
      </w:pPr>
      <w:r w:rsidRPr="00DF45E8">
        <w:rPr>
          <w:rFonts w:cs="Arial"/>
          <w:szCs w:val="24"/>
          <w:lang w:eastAsia="en-GB"/>
        </w:rPr>
        <w:t xml:space="preserve">Option 2 is recommended because it enables the </w:t>
      </w:r>
      <w:r>
        <w:t>L</w:t>
      </w:r>
      <w:r w:rsidRPr="001E3C2C">
        <w:t xml:space="preserve">ocal </w:t>
      </w:r>
      <w:r>
        <w:t>A</w:t>
      </w:r>
      <w:r w:rsidRPr="001E3C2C">
        <w:t xml:space="preserve">uthority </w:t>
      </w:r>
      <w:r w:rsidR="00DF45E8">
        <w:t xml:space="preserve">and CCG </w:t>
      </w:r>
      <w:r>
        <w:t xml:space="preserve">to fulfil </w:t>
      </w:r>
      <w:r w:rsidR="00DF45E8">
        <w:t xml:space="preserve">their </w:t>
      </w:r>
      <w:r>
        <w:t>role</w:t>
      </w:r>
      <w:r w:rsidR="00DF45E8">
        <w:t>s</w:t>
      </w:r>
      <w:r>
        <w:t xml:space="preserve"> </w:t>
      </w:r>
      <w:r w:rsidRPr="001E3C2C">
        <w:t>to champion vulnerable children and young p</w:t>
      </w:r>
      <w:r w:rsidR="00DF45E8">
        <w:t xml:space="preserve">eople, parents and families including those with SEND and meet their educational and health needs </w:t>
      </w:r>
      <w:r>
        <w:t>most efficiently</w:t>
      </w:r>
      <w:r w:rsidR="00DF45E8">
        <w:t xml:space="preserve"> within available resources.</w:t>
      </w:r>
      <w:r>
        <w:t xml:space="preserve"> </w:t>
      </w:r>
    </w:p>
    <w:p w:rsidR="00DF45E8" w:rsidRPr="00B37EA8" w:rsidRDefault="00DF45E8" w:rsidP="00650476"/>
    <w:p w:rsidR="00CD6015" w:rsidRPr="00B37EA8" w:rsidRDefault="00B2366F" w:rsidP="003F5A1D">
      <w:pPr>
        <w:rPr>
          <w:b/>
        </w:rPr>
      </w:pPr>
      <w:r w:rsidRPr="00B37EA8">
        <w:rPr>
          <w:b/>
        </w:rPr>
        <w:t>SEND Strategy</w:t>
      </w:r>
    </w:p>
    <w:p w:rsidR="00CD6015" w:rsidRPr="00B37EA8" w:rsidRDefault="00CD6015" w:rsidP="00650476"/>
    <w:p w:rsidR="00CD6015" w:rsidRDefault="00CD6015" w:rsidP="003F5A1D">
      <w:pPr>
        <w:pStyle w:val="ListParagraph"/>
        <w:numPr>
          <w:ilvl w:val="0"/>
          <w:numId w:val="26"/>
        </w:numPr>
        <w:ind w:hanging="720"/>
        <w:rPr>
          <w:rFonts w:cs="Arial"/>
          <w:szCs w:val="24"/>
        </w:rPr>
      </w:pPr>
      <w:r w:rsidRPr="00650476">
        <w:rPr>
          <w:rFonts w:cs="Arial"/>
          <w:szCs w:val="24"/>
        </w:rPr>
        <w:t>The Harrow Special Educational Needs and Disability (SEND) Strategy describes the partners’ collective vision and aspirations for children and young people with special educational needs and provides a framework for partners to collaborate to deliver shared priorities for the next five years and setting out how they will be implemented.</w:t>
      </w:r>
      <w:r w:rsidR="00ED3EF4">
        <w:rPr>
          <w:rFonts w:cs="Arial"/>
          <w:szCs w:val="24"/>
        </w:rPr>
        <w:t xml:space="preserve"> A copy of the SEND Strategy is at Annexe A.</w:t>
      </w:r>
    </w:p>
    <w:p w:rsidR="003F5A1D" w:rsidRPr="00650476" w:rsidRDefault="003F5A1D" w:rsidP="003F5A1D">
      <w:pPr>
        <w:pStyle w:val="ListParagraph"/>
        <w:ind w:hanging="720"/>
        <w:rPr>
          <w:rFonts w:cs="Arial"/>
          <w:szCs w:val="24"/>
        </w:rPr>
      </w:pPr>
    </w:p>
    <w:p w:rsidR="00CB7A9C" w:rsidRPr="00E03186" w:rsidRDefault="00CB7A9C" w:rsidP="00ED3EF4">
      <w:pPr>
        <w:pStyle w:val="Default"/>
        <w:ind w:left="709"/>
        <w:rPr>
          <w:rFonts w:ascii="Arial" w:hAnsi="Arial" w:cs="Arial"/>
          <w:b/>
        </w:rPr>
      </w:pPr>
      <w:r w:rsidRPr="00E03186">
        <w:rPr>
          <w:rFonts w:ascii="Arial" w:hAnsi="Arial" w:cs="Arial"/>
          <w:b/>
        </w:rPr>
        <w:t>Guiding Principles</w:t>
      </w:r>
    </w:p>
    <w:p w:rsidR="00CB7A9C" w:rsidRPr="00E03186" w:rsidRDefault="00CB7A9C" w:rsidP="003F5A1D">
      <w:pPr>
        <w:pStyle w:val="Default"/>
        <w:numPr>
          <w:ilvl w:val="0"/>
          <w:numId w:val="26"/>
        </w:numPr>
        <w:ind w:hanging="720"/>
        <w:rPr>
          <w:rFonts w:ascii="Arial" w:hAnsi="Arial" w:cs="Arial"/>
        </w:rPr>
      </w:pPr>
      <w:r w:rsidRPr="00E03186">
        <w:rPr>
          <w:rFonts w:ascii="Arial" w:hAnsi="Arial" w:cs="Arial"/>
        </w:rPr>
        <w:t xml:space="preserve">To realise this vision, the implementation of the SEND Strategy will be guided by the following principles: </w:t>
      </w:r>
    </w:p>
    <w:p w:rsidR="00CB7A9C" w:rsidRPr="00E03186" w:rsidRDefault="00CB7A9C" w:rsidP="003F5A1D">
      <w:pPr>
        <w:ind w:hanging="720"/>
        <w:rPr>
          <w:rFonts w:cs="Arial"/>
          <w:szCs w:val="24"/>
        </w:rPr>
      </w:pPr>
    </w:p>
    <w:p w:rsidR="00CB7A9C" w:rsidRPr="003F5A1D" w:rsidRDefault="00CB7A9C" w:rsidP="00B37EA8">
      <w:pPr>
        <w:numPr>
          <w:ilvl w:val="0"/>
          <w:numId w:val="29"/>
        </w:numPr>
        <w:ind w:left="1418" w:right="397" w:hanging="567"/>
        <w:rPr>
          <w:rFonts w:cs="Arial"/>
          <w:szCs w:val="24"/>
        </w:rPr>
      </w:pPr>
      <w:r w:rsidRPr="003F5A1D">
        <w:rPr>
          <w:rFonts w:cs="Arial"/>
          <w:szCs w:val="24"/>
        </w:rPr>
        <w:t>Maximising the potential of a continuum of local provision in Harrow for children, young people and young adults from 0 to 25 years of age.</w:t>
      </w:r>
    </w:p>
    <w:p w:rsidR="00CB7A9C" w:rsidRPr="003F5A1D" w:rsidRDefault="00CB7A9C" w:rsidP="00B37EA8">
      <w:pPr>
        <w:ind w:left="1418" w:right="397" w:hanging="567"/>
        <w:rPr>
          <w:rFonts w:cs="Arial"/>
          <w:szCs w:val="24"/>
        </w:rPr>
      </w:pPr>
    </w:p>
    <w:p w:rsidR="00CB7A9C" w:rsidRPr="003F5A1D" w:rsidRDefault="00CB7A9C" w:rsidP="00B37EA8">
      <w:pPr>
        <w:numPr>
          <w:ilvl w:val="0"/>
          <w:numId w:val="29"/>
        </w:numPr>
        <w:ind w:left="1418" w:right="397" w:hanging="567"/>
        <w:rPr>
          <w:rFonts w:cs="Arial"/>
          <w:szCs w:val="24"/>
        </w:rPr>
      </w:pPr>
      <w:r w:rsidRPr="003F5A1D">
        <w:rPr>
          <w:rFonts w:cs="Arial"/>
          <w:szCs w:val="24"/>
        </w:rPr>
        <w:t>Developing partnerships with neighbouring Local Authorities, health other agencies and parents/carers to ensure effective collaboration to meet the needs of children, young people and young adults.</w:t>
      </w:r>
    </w:p>
    <w:p w:rsidR="00CB7A9C" w:rsidRPr="003F5A1D" w:rsidRDefault="00CB7A9C" w:rsidP="00B37EA8">
      <w:pPr>
        <w:ind w:left="1418" w:right="397" w:hanging="567"/>
        <w:rPr>
          <w:rFonts w:cs="Arial"/>
          <w:szCs w:val="24"/>
        </w:rPr>
      </w:pPr>
    </w:p>
    <w:p w:rsidR="00CB7A9C" w:rsidRPr="003F5A1D" w:rsidRDefault="00CB7A9C" w:rsidP="00B37EA8">
      <w:pPr>
        <w:numPr>
          <w:ilvl w:val="0"/>
          <w:numId w:val="29"/>
        </w:numPr>
        <w:ind w:left="1418" w:hanging="567"/>
        <w:rPr>
          <w:rFonts w:cs="Arial"/>
          <w:szCs w:val="24"/>
        </w:rPr>
      </w:pPr>
      <w:r w:rsidRPr="003F5A1D">
        <w:rPr>
          <w:rFonts w:cs="Arial"/>
          <w:bCs/>
          <w:szCs w:val="24"/>
        </w:rPr>
        <w:t>Developing an integrated approach in the development and delivery of personalised provision, that includes joint decision-making processes between education, social care and health.</w:t>
      </w:r>
    </w:p>
    <w:p w:rsidR="00CB7A9C" w:rsidRPr="003F5A1D" w:rsidRDefault="00CB7A9C" w:rsidP="00B37EA8">
      <w:pPr>
        <w:ind w:left="1418" w:hanging="567"/>
        <w:rPr>
          <w:rFonts w:cs="Arial"/>
          <w:szCs w:val="24"/>
        </w:rPr>
      </w:pPr>
    </w:p>
    <w:p w:rsidR="00CB7A9C" w:rsidRPr="003F5A1D" w:rsidRDefault="00CB7A9C" w:rsidP="00B37EA8">
      <w:pPr>
        <w:numPr>
          <w:ilvl w:val="0"/>
          <w:numId w:val="29"/>
        </w:numPr>
        <w:ind w:left="1418" w:right="397" w:hanging="567"/>
        <w:rPr>
          <w:rFonts w:cs="Arial"/>
          <w:szCs w:val="24"/>
        </w:rPr>
      </w:pPr>
      <w:r w:rsidRPr="003F5A1D">
        <w:rPr>
          <w:rFonts w:cs="Arial"/>
          <w:szCs w:val="24"/>
        </w:rPr>
        <w:t>Prioritising early assessment of need and ensuring timely intervention and support.</w:t>
      </w:r>
    </w:p>
    <w:p w:rsidR="00CB7A9C" w:rsidRPr="003F5A1D" w:rsidRDefault="00CB7A9C" w:rsidP="00B37EA8">
      <w:pPr>
        <w:ind w:left="1418" w:right="397" w:hanging="567"/>
        <w:rPr>
          <w:rFonts w:cs="Arial"/>
          <w:szCs w:val="24"/>
        </w:rPr>
      </w:pPr>
    </w:p>
    <w:p w:rsidR="00CB7A9C" w:rsidRPr="003F5A1D" w:rsidRDefault="00CB7A9C" w:rsidP="00B37EA8">
      <w:pPr>
        <w:numPr>
          <w:ilvl w:val="0"/>
          <w:numId w:val="29"/>
        </w:numPr>
        <w:ind w:left="1418" w:right="397" w:hanging="567"/>
        <w:rPr>
          <w:rFonts w:cs="Arial"/>
          <w:szCs w:val="24"/>
        </w:rPr>
      </w:pPr>
      <w:r w:rsidRPr="003F5A1D">
        <w:rPr>
          <w:rFonts w:cs="Arial"/>
          <w:szCs w:val="24"/>
        </w:rPr>
        <w:t>Every provider, school, college or other setting, in Harrow to have good or outstanding provision for children, young people and young adults with additional needs and have access to high quality professional development and support.</w:t>
      </w:r>
    </w:p>
    <w:p w:rsidR="00CB7A9C" w:rsidRPr="003F5A1D" w:rsidRDefault="00CB7A9C" w:rsidP="00B37EA8">
      <w:pPr>
        <w:ind w:left="1418" w:right="397" w:hanging="567"/>
        <w:rPr>
          <w:rFonts w:cs="Arial"/>
          <w:szCs w:val="24"/>
        </w:rPr>
      </w:pPr>
    </w:p>
    <w:p w:rsidR="00CB7A9C" w:rsidRPr="003F5A1D" w:rsidRDefault="00CB7A9C" w:rsidP="00B37EA8">
      <w:pPr>
        <w:numPr>
          <w:ilvl w:val="0"/>
          <w:numId w:val="29"/>
        </w:numPr>
        <w:ind w:left="1418" w:right="397" w:hanging="567"/>
        <w:rPr>
          <w:rFonts w:cs="Arial"/>
          <w:szCs w:val="24"/>
        </w:rPr>
      </w:pPr>
      <w:r w:rsidRPr="003F5A1D">
        <w:rPr>
          <w:rFonts w:cs="Arial"/>
          <w:szCs w:val="24"/>
        </w:rPr>
        <w:lastRenderedPageBreak/>
        <w:t>Using all data available effectively to identify issues to inform the strategy and monitor its effectiveness over time.</w:t>
      </w:r>
    </w:p>
    <w:p w:rsidR="00CB7A9C" w:rsidRPr="003F5A1D" w:rsidRDefault="00CB7A9C" w:rsidP="00B37EA8">
      <w:pPr>
        <w:ind w:left="1418" w:right="397" w:hanging="567"/>
        <w:rPr>
          <w:rFonts w:cs="Arial"/>
          <w:szCs w:val="24"/>
        </w:rPr>
      </w:pPr>
    </w:p>
    <w:p w:rsidR="00CB7A9C" w:rsidRPr="003F5A1D" w:rsidRDefault="00CB7A9C" w:rsidP="00B37EA8">
      <w:pPr>
        <w:numPr>
          <w:ilvl w:val="0"/>
          <w:numId w:val="29"/>
        </w:numPr>
        <w:ind w:left="1418" w:right="397" w:hanging="567"/>
        <w:rPr>
          <w:rFonts w:cs="Arial"/>
          <w:szCs w:val="24"/>
        </w:rPr>
      </w:pPr>
      <w:r w:rsidRPr="003F5A1D">
        <w:rPr>
          <w:rFonts w:cs="Arial"/>
          <w:szCs w:val="24"/>
        </w:rPr>
        <w:t>Including parents/carers and young people’s voice in the development of the strategy.</w:t>
      </w:r>
    </w:p>
    <w:p w:rsidR="00CB7A9C" w:rsidRPr="003F5A1D" w:rsidRDefault="00CB7A9C" w:rsidP="00B37EA8">
      <w:pPr>
        <w:ind w:left="1418" w:right="397" w:hanging="567"/>
        <w:rPr>
          <w:rFonts w:cs="Arial"/>
          <w:szCs w:val="24"/>
        </w:rPr>
      </w:pPr>
    </w:p>
    <w:p w:rsidR="00CB7A9C" w:rsidRPr="003F5A1D" w:rsidRDefault="00CB7A9C" w:rsidP="00B37EA8">
      <w:pPr>
        <w:numPr>
          <w:ilvl w:val="0"/>
          <w:numId w:val="29"/>
        </w:numPr>
        <w:ind w:left="1418" w:right="397" w:hanging="567"/>
        <w:rPr>
          <w:rFonts w:cs="Arial"/>
          <w:szCs w:val="24"/>
        </w:rPr>
      </w:pPr>
      <w:r w:rsidRPr="003F5A1D">
        <w:rPr>
          <w:rFonts w:cs="Arial"/>
          <w:szCs w:val="24"/>
        </w:rPr>
        <w:t>Ensuring that current and future SEND Reforms are an integral element of the SEND Strategy and progress towards implementation is monitored by appropriate bodies.</w:t>
      </w:r>
    </w:p>
    <w:p w:rsidR="00CB7A9C" w:rsidRPr="00E03186" w:rsidRDefault="00CB7A9C" w:rsidP="00650476">
      <w:pPr>
        <w:tabs>
          <w:tab w:val="left" w:pos="993"/>
        </w:tabs>
        <w:ind w:left="1418" w:right="397" w:hanging="284"/>
        <w:rPr>
          <w:rFonts w:cs="Arial"/>
          <w:szCs w:val="24"/>
        </w:rPr>
      </w:pPr>
    </w:p>
    <w:p w:rsidR="00CB7A9C" w:rsidRDefault="00CB7A9C" w:rsidP="00ED3EF4">
      <w:pPr>
        <w:ind w:left="709"/>
        <w:rPr>
          <w:rFonts w:cs="Arial"/>
          <w:b/>
          <w:szCs w:val="24"/>
        </w:rPr>
      </w:pPr>
      <w:r w:rsidRPr="003F5A1D">
        <w:rPr>
          <w:rFonts w:cs="Arial"/>
          <w:b/>
          <w:szCs w:val="24"/>
        </w:rPr>
        <w:t>Strategic Priorities</w:t>
      </w:r>
    </w:p>
    <w:p w:rsidR="00CB7A9C" w:rsidRPr="00E03186" w:rsidRDefault="00ED3EF4" w:rsidP="00B37EA8">
      <w:pPr>
        <w:numPr>
          <w:ilvl w:val="0"/>
          <w:numId w:val="26"/>
        </w:numPr>
        <w:tabs>
          <w:tab w:val="left" w:pos="709"/>
        </w:tabs>
        <w:ind w:hanging="720"/>
        <w:rPr>
          <w:rFonts w:cs="Arial"/>
          <w:szCs w:val="24"/>
        </w:rPr>
      </w:pPr>
      <w:r w:rsidRPr="00650476">
        <w:rPr>
          <w:rFonts w:cs="Arial"/>
          <w:szCs w:val="24"/>
        </w:rPr>
        <w:t>The Strategy has four Strategic Priorities and within these priorities there is flexibility to review, up-date and re-focus accordingly</w:t>
      </w:r>
      <w:r>
        <w:rPr>
          <w:rFonts w:cs="Arial"/>
          <w:szCs w:val="24"/>
        </w:rPr>
        <w:t xml:space="preserve">. The </w:t>
      </w:r>
      <w:r w:rsidR="00CB7A9C" w:rsidRPr="00E03186">
        <w:rPr>
          <w:rFonts w:cs="Arial"/>
          <w:szCs w:val="24"/>
        </w:rPr>
        <w:t>four strategic priorities</w:t>
      </w:r>
      <w:r>
        <w:rPr>
          <w:rFonts w:cs="Arial"/>
          <w:szCs w:val="24"/>
        </w:rPr>
        <w:t xml:space="preserve"> are:</w:t>
      </w:r>
    </w:p>
    <w:p w:rsidR="00CB7A9C" w:rsidRPr="00E03186" w:rsidRDefault="00CB7A9C" w:rsidP="00650476">
      <w:pPr>
        <w:rPr>
          <w:rFonts w:cs="Arial"/>
          <w:szCs w:val="24"/>
        </w:rPr>
      </w:pPr>
    </w:p>
    <w:p w:rsidR="00CB7A9C" w:rsidRPr="00B37EA8" w:rsidRDefault="00CB7A9C" w:rsidP="00B37EA8">
      <w:pPr>
        <w:pStyle w:val="ListParagraph"/>
        <w:numPr>
          <w:ilvl w:val="0"/>
          <w:numId w:val="42"/>
        </w:numPr>
        <w:ind w:left="1418" w:hanging="567"/>
        <w:rPr>
          <w:rFonts w:cs="Arial"/>
          <w:szCs w:val="24"/>
        </w:rPr>
      </w:pPr>
      <w:r w:rsidRPr="00B37EA8">
        <w:rPr>
          <w:rFonts w:cs="Arial"/>
          <w:szCs w:val="24"/>
        </w:rPr>
        <w:t>Strategic Priority 1:</w:t>
      </w:r>
      <w:r w:rsidRPr="00B37EA8">
        <w:rPr>
          <w:rFonts w:cs="Arial"/>
          <w:szCs w:val="24"/>
        </w:rPr>
        <w:tab/>
        <w:t xml:space="preserve">Review in-borough specialist provision in the context of a changing demographic profile, pre-school, school and college organisational changes and other developments </w:t>
      </w:r>
    </w:p>
    <w:p w:rsidR="00CB7A9C" w:rsidRPr="00E03186" w:rsidRDefault="00CB7A9C" w:rsidP="00B37EA8">
      <w:pPr>
        <w:ind w:left="1418" w:hanging="567"/>
        <w:rPr>
          <w:rFonts w:cs="Arial"/>
          <w:szCs w:val="24"/>
        </w:rPr>
      </w:pPr>
    </w:p>
    <w:p w:rsidR="00CB7A9C" w:rsidRPr="00B37EA8" w:rsidRDefault="00CB7A9C" w:rsidP="00B37EA8">
      <w:pPr>
        <w:pStyle w:val="ListParagraph"/>
        <w:numPr>
          <w:ilvl w:val="0"/>
          <w:numId w:val="42"/>
        </w:numPr>
        <w:ind w:left="1418" w:hanging="567"/>
        <w:rPr>
          <w:rFonts w:cs="Arial"/>
          <w:szCs w:val="24"/>
        </w:rPr>
      </w:pPr>
      <w:r w:rsidRPr="00B37EA8">
        <w:rPr>
          <w:rFonts w:cs="Arial"/>
          <w:szCs w:val="24"/>
        </w:rPr>
        <w:t>Strategic Priority 2:</w:t>
      </w:r>
      <w:r w:rsidRPr="00B37EA8">
        <w:rPr>
          <w:rFonts w:cs="Arial"/>
          <w:szCs w:val="24"/>
        </w:rPr>
        <w:tab/>
        <w:t>Review current provision and need for children, young people and young adults with social, emotional and mental health needs to ensure continuum of provision and support. (previously SEBD)</w:t>
      </w:r>
    </w:p>
    <w:p w:rsidR="00CB7A9C" w:rsidRPr="00E03186" w:rsidRDefault="00CB7A9C" w:rsidP="00B37EA8">
      <w:pPr>
        <w:ind w:left="1418" w:hanging="567"/>
        <w:rPr>
          <w:rFonts w:cs="Arial"/>
          <w:szCs w:val="24"/>
          <w:lang w:eastAsia="en-GB"/>
        </w:rPr>
      </w:pPr>
    </w:p>
    <w:p w:rsidR="00CB7A9C" w:rsidRPr="00B37EA8" w:rsidRDefault="00CB7A9C" w:rsidP="00B37EA8">
      <w:pPr>
        <w:pStyle w:val="ListParagraph"/>
        <w:numPr>
          <w:ilvl w:val="0"/>
          <w:numId w:val="42"/>
        </w:numPr>
        <w:ind w:left="1418" w:hanging="567"/>
        <w:rPr>
          <w:rFonts w:cs="Arial"/>
          <w:szCs w:val="24"/>
        </w:rPr>
      </w:pPr>
      <w:r w:rsidRPr="00B37EA8">
        <w:rPr>
          <w:rFonts w:cs="Arial"/>
          <w:szCs w:val="24"/>
        </w:rPr>
        <w:t>Strategic Priority 3:</w:t>
      </w:r>
      <w:r w:rsidRPr="00B37EA8">
        <w:rPr>
          <w:rFonts w:cs="Arial"/>
          <w:szCs w:val="24"/>
        </w:rPr>
        <w:tab/>
        <w:t xml:space="preserve">Improve local education and social care opportunities for post-16 provision working in partnership with other agencies </w:t>
      </w:r>
    </w:p>
    <w:p w:rsidR="00CB7A9C" w:rsidRPr="00E03186" w:rsidRDefault="00CB7A9C" w:rsidP="00B37EA8">
      <w:pPr>
        <w:ind w:left="1418" w:hanging="567"/>
        <w:rPr>
          <w:rFonts w:cs="Arial"/>
          <w:szCs w:val="24"/>
        </w:rPr>
      </w:pPr>
    </w:p>
    <w:p w:rsidR="00CB7A9C" w:rsidRPr="00B37EA8" w:rsidRDefault="00CB7A9C" w:rsidP="00B37EA8">
      <w:pPr>
        <w:pStyle w:val="ListParagraph"/>
        <w:numPr>
          <w:ilvl w:val="0"/>
          <w:numId w:val="42"/>
        </w:numPr>
        <w:ind w:left="1418" w:hanging="567"/>
        <w:rPr>
          <w:rFonts w:cs="Arial"/>
          <w:szCs w:val="24"/>
        </w:rPr>
      </w:pPr>
      <w:r w:rsidRPr="00B37EA8">
        <w:rPr>
          <w:rFonts w:cs="Arial"/>
          <w:szCs w:val="24"/>
        </w:rPr>
        <w:t>Strategic Priority 4:</w:t>
      </w:r>
      <w:r w:rsidRPr="00B37EA8">
        <w:rPr>
          <w:rFonts w:cs="Arial"/>
          <w:szCs w:val="24"/>
        </w:rPr>
        <w:tab/>
        <w:t>Improve outcomes for children and young people (0-25) with SEND and ensure appropriate skilled and qualified staff in all provision.</w:t>
      </w:r>
    </w:p>
    <w:p w:rsidR="00CB7A9C" w:rsidRPr="00E03186" w:rsidRDefault="00CB7A9C" w:rsidP="00B37EA8">
      <w:pPr>
        <w:ind w:left="1418" w:hanging="567"/>
        <w:rPr>
          <w:rFonts w:cs="Arial"/>
          <w:szCs w:val="24"/>
        </w:rPr>
      </w:pPr>
    </w:p>
    <w:p w:rsidR="00CB7A9C" w:rsidRPr="00650476" w:rsidRDefault="00CB7A9C" w:rsidP="003F5A1D">
      <w:pPr>
        <w:pStyle w:val="ListParagraph"/>
        <w:numPr>
          <w:ilvl w:val="0"/>
          <w:numId w:val="26"/>
        </w:numPr>
        <w:ind w:hanging="720"/>
        <w:rPr>
          <w:rFonts w:cs="Arial"/>
          <w:szCs w:val="24"/>
          <w:lang w:val="en-US"/>
        </w:rPr>
      </w:pPr>
      <w:r w:rsidRPr="00650476">
        <w:rPr>
          <w:rFonts w:cs="Arial"/>
          <w:szCs w:val="24"/>
        </w:rPr>
        <w:t xml:space="preserve">The Harrow SEND Conversation has been launched to develop and implement the Strategic Priorities. </w:t>
      </w:r>
      <w:r w:rsidRPr="00650476">
        <w:rPr>
          <w:rFonts w:cs="Arial"/>
        </w:rPr>
        <w:t xml:space="preserve">Harrow Council is facilitating engagement with its partners in a conversation which is aimed at rethinking refocusing and improving its SEND arrangements. This approach </w:t>
      </w:r>
      <w:r w:rsidR="00B37EA8" w:rsidRPr="00650476">
        <w:rPr>
          <w:rFonts w:cs="Arial"/>
          <w:szCs w:val="24"/>
          <w:lang w:val="en-US"/>
        </w:rPr>
        <w:t>presents an opportunity to</w:t>
      </w:r>
      <w:r w:rsidRPr="00650476">
        <w:rPr>
          <w:rFonts w:cs="Arial"/>
          <w:szCs w:val="24"/>
          <w:lang w:val="en-US"/>
        </w:rPr>
        <w:t>:</w:t>
      </w:r>
    </w:p>
    <w:p w:rsidR="00CB7A9C" w:rsidRDefault="00CB7A9C" w:rsidP="00650476">
      <w:pPr>
        <w:rPr>
          <w:rFonts w:cs="Arial"/>
          <w:szCs w:val="24"/>
          <w:lang w:val="en-US"/>
        </w:rPr>
      </w:pPr>
    </w:p>
    <w:p w:rsidR="008B3B44" w:rsidRPr="00CB7A9C" w:rsidRDefault="00B37EA8" w:rsidP="003F5A1D">
      <w:pPr>
        <w:pStyle w:val="ListParagraph"/>
        <w:numPr>
          <w:ilvl w:val="0"/>
          <w:numId w:val="32"/>
        </w:numPr>
        <w:ind w:left="1418" w:hanging="709"/>
        <w:rPr>
          <w:rFonts w:cs="Arial"/>
          <w:szCs w:val="24"/>
          <w:lang w:val="en-US"/>
        </w:rPr>
      </w:pPr>
      <w:r w:rsidRPr="00CB7A9C">
        <w:rPr>
          <w:rFonts w:cs="Arial"/>
          <w:szCs w:val="24"/>
          <w:lang w:val="en-US"/>
        </w:rPr>
        <w:t>build on good practice and address the issues that need improving for Harrow’s most vulnerable learners</w:t>
      </w:r>
    </w:p>
    <w:p w:rsidR="008B3B44" w:rsidRPr="00CB7A9C" w:rsidRDefault="00CB7A9C" w:rsidP="003F5A1D">
      <w:pPr>
        <w:pStyle w:val="ListParagraph"/>
        <w:numPr>
          <w:ilvl w:val="0"/>
          <w:numId w:val="32"/>
        </w:numPr>
        <w:ind w:left="1418" w:hanging="709"/>
        <w:rPr>
          <w:rFonts w:cs="Arial"/>
          <w:szCs w:val="24"/>
          <w:lang w:val="en-US"/>
        </w:rPr>
      </w:pPr>
      <w:r w:rsidRPr="00CB7A9C">
        <w:rPr>
          <w:rFonts w:cs="Arial"/>
          <w:szCs w:val="24"/>
          <w:lang w:val="en-US"/>
        </w:rPr>
        <w:t xml:space="preserve">involve all </w:t>
      </w:r>
      <w:r w:rsidR="00B37EA8" w:rsidRPr="00CB7A9C">
        <w:rPr>
          <w:rFonts w:cs="Arial"/>
          <w:szCs w:val="24"/>
          <w:lang w:val="en-US"/>
        </w:rPr>
        <w:t>partners across education, health and care have collective a responsibility for improving Harrow’s inclusive arrangements for its most vulnerable young people</w:t>
      </w:r>
    </w:p>
    <w:p w:rsidR="008B3B44" w:rsidRPr="00CB7A9C" w:rsidRDefault="00B37EA8" w:rsidP="003F5A1D">
      <w:pPr>
        <w:pStyle w:val="ListParagraph"/>
        <w:numPr>
          <w:ilvl w:val="0"/>
          <w:numId w:val="32"/>
        </w:numPr>
        <w:ind w:left="1418" w:hanging="709"/>
        <w:rPr>
          <w:rFonts w:cs="Arial"/>
          <w:szCs w:val="24"/>
        </w:rPr>
      </w:pPr>
      <w:r w:rsidRPr="00CB7A9C">
        <w:rPr>
          <w:rFonts w:cs="Arial"/>
          <w:szCs w:val="24"/>
          <w:lang w:val="en-US"/>
        </w:rPr>
        <w:t xml:space="preserve">work with young people with SEND and their families and all partners to construct a </w:t>
      </w:r>
      <w:proofErr w:type="spellStart"/>
      <w:r w:rsidRPr="00CB7A9C">
        <w:rPr>
          <w:rFonts w:cs="Arial"/>
          <w:szCs w:val="24"/>
          <w:lang w:val="en-US"/>
        </w:rPr>
        <w:t>programme</w:t>
      </w:r>
      <w:proofErr w:type="spellEnd"/>
      <w:r w:rsidRPr="00CB7A9C">
        <w:rPr>
          <w:rFonts w:cs="Arial"/>
          <w:szCs w:val="24"/>
          <w:lang w:val="en-US"/>
        </w:rPr>
        <w:t xml:space="preserve"> of activity to bring about the necessary change. </w:t>
      </w:r>
    </w:p>
    <w:p w:rsidR="00CB7A9C" w:rsidRDefault="00CB7A9C" w:rsidP="003F5A1D">
      <w:pPr>
        <w:ind w:left="1418" w:hanging="709"/>
        <w:rPr>
          <w:rFonts w:cs="Arial"/>
          <w:szCs w:val="24"/>
        </w:rPr>
      </w:pPr>
    </w:p>
    <w:p w:rsidR="00B37EA8" w:rsidRDefault="00B37EA8" w:rsidP="003F5A1D">
      <w:pPr>
        <w:pStyle w:val="ListParagraph"/>
        <w:numPr>
          <w:ilvl w:val="0"/>
          <w:numId w:val="26"/>
        </w:numPr>
        <w:ind w:hanging="720"/>
      </w:pPr>
      <w:r>
        <w:t>A series of workshops for each Strategic Priority are planned following on from the first Conversation event on 4</w:t>
      </w:r>
      <w:r w:rsidRPr="00B37EA8">
        <w:rPr>
          <w:vertAlign w:val="superscript"/>
        </w:rPr>
        <w:t>th</w:t>
      </w:r>
      <w:r>
        <w:t xml:space="preserve"> June 2019. </w:t>
      </w:r>
    </w:p>
    <w:p w:rsidR="00B37EA8" w:rsidRDefault="00B37EA8" w:rsidP="00B37EA8">
      <w:pPr>
        <w:pStyle w:val="ListParagraph"/>
      </w:pPr>
    </w:p>
    <w:p w:rsidR="00CB7A9C" w:rsidRDefault="00CB7A9C" w:rsidP="003F5A1D">
      <w:pPr>
        <w:pStyle w:val="ListParagraph"/>
        <w:numPr>
          <w:ilvl w:val="0"/>
          <w:numId w:val="26"/>
        </w:numPr>
        <w:ind w:hanging="720"/>
      </w:pPr>
      <w:r>
        <w:lastRenderedPageBreak/>
        <w:t>A SEND Strategy Stakeholder Reference Group is being established with representatives from schools, colleges, cross party members, CCG and Harrow Parents Forum</w:t>
      </w:r>
      <w:r w:rsidRPr="00536446">
        <w:t xml:space="preserve"> </w:t>
      </w:r>
      <w:r>
        <w:t>to ensure that there is appropriate stakeholder engagement incorporated into the governance arrangements, to provide advice and guidance on the implementation of the SEND Strategy and to disseminate information to their constituent groups on a range of issues including:</w:t>
      </w:r>
    </w:p>
    <w:p w:rsidR="00CB7A9C" w:rsidRDefault="00CB7A9C" w:rsidP="00650476">
      <w:pPr>
        <w:jc w:val="both"/>
      </w:pPr>
    </w:p>
    <w:p w:rsidR="00CB7A9C" w:rsidRDefault="00CB7A9C" w:rsidP="003F5A1D">
      <w:pPr>
        <w:pStyle w:val="ListParagraph"/>
        <w:numPr>
          <w:ilvl w:val="0"/>
          <w:numId w:val="33"/>
        </w:numPr>
        <w:jc w:val="both"/>
      </w:pPr>
      <w:r>
        <w:t>Four Strategic Priority Progress and Up-dates</w:t>
      </w:r>
    </w:p>
    <w:p w:rsidR="00CB7A9C" w:rsidRDefault="00ED3EF4" w:rsidP="003F5A1D">
      <w:pPr>
        <w:pStyle w:val="ListParagraph"/>
        <w:numPr>
          <w:ilvl w:val="0"/>
          <w:numId w:val="33"/>
        </w:numPr>
        <w:jc w:val="both"/>
      </w:pPr>
      <w:r>
        <w:t>Embedding SEND Reforms</w:t>
      </w:r>
    </w:p>
    <w:p w:rsidR="00CB7A9C" w:rsidRDefault="00CB7A9C" w:rsidP="003F5A1D">
      <w:pPr>
        <w:pStyle w:val="ListParagraph"/>
        <w:numPr>
          <w:ilvl w:val="0"/>
          <w:numId w:val="33"/>
        </w:numPr>
        <w:jc w:val="both"/>
      </w:pPr>
      <w:r>
        <w:t>Financial and Resource Matters</w:t>
      </w:r>
    </w:p>
    <w:p w:rsidR="00B37EA8" w:rsidRDefault="00B37EA8" w:rsidP="00B37EA8">
      <w:pPr>
        <w:pStyle w:val="ListParagraph"/>
        <w:ind w:left="1080"/>
        <w:jc w:val="both"/>
      </w:pPr>
    </w:p>
    <w:p w:rsidR="00CB7A9C" w:rsidRDefault="00B37EA8" w:rsidP="00B37EA8">
      <w:pPr>
        <w:pStyle w:val="ListParagraph"/>
        <w:numPr>
          <w:ilvl w:val="0"/>
          <w:numId w:val="26"/>
        </w:numPr>
        <w:ind w:hanging="720"/>
        <w:jc w:val="both"/>
      </w:pPr>
      <w:r>
        <w:t>The first meeting is planned for 8</w:t>
      </w:r>
      <w:r w:rsidRPr="00B37EA8">
        <w:rPr>
          <w:vertAlign w:val="superscript"/>
        </w:rPr>
        <w:t>th</w:t>
      </w:r>
      <w:r>
        <w:t xml:space="preserve"> July 2019.</w:t>
      </w:r>
    </w:p>
    <w:p w:rsidR="00B37EA8" w:rsidRDefault="00B37EA8" w:rsidP="00B37EA8">
      <w:pPr>
        <w:pStyle w:val="ListParagraph"/>
        <w:jc w:val="both"/>
      </w:pPr>
    </w:p>
    <w:p w:rsidR="00CB7A9C" w:rsidRDefault="00CB7A9C" w:rsidP="003F5A1D">
      <w:pPr>
        <w:jc w:val="both"/>
        <w:rPr>
          <w:b/>
        </w:rPr>
      </w:pPr>
      <w:r w:rsidRPr="003F5A1D">
        <w:rPr>
          <w:b/>
        </w:rPr>
        <w:t>0-</w:t>
      </w:r>
      <w:r w:rsidR="00B2366F">
        <w:rPr>
          <w:b/>
        </w:rPr>
        <w:t>25</w:t>
      </w:r>
      <w:r w:rsidRPr="003F5A1D">
        <w:rPr>
          <w:b/>
        </w:rPr>
        <w:t xml:space="preserve"> Commissioning Plan</w:t>
      </w:r>
    </w:p>
    <w:p w:rsidR="00B37EA8" w:rsidRPr="003F5A1D" w:rsidRDefault="00B37EA8" w:rsidP="003F5A1D">
      <w:pPr>
        <w:jc w:val="both"/>
        <w:rPr>
          <w:b/>
        </w:rPr>
      </w:pPr>
    </w:p>
    <w:p w:rsidR="00CB7A9C" w:rsidRDefault="00CB7A9C" w:rsidP="003F5A1D">
      <w:pPr>
        <w:pStyle w:val="ListParagraph"/>
        <w:numPr>
          <w:ilvl w:val="0"/>
          <w:numId w:val="26"/>
        </w:numPr>
        <w:tabs>
          <w:tab w:val="left" w:pos="993"/>
        </w:tabs>
        <w:ind w:left="709" w:hanging="709"/>
        <w:rPr>
          <w:rFonts w:cs="Arial"/>
          <w:szCs w:val="24"/>
        </w:rPr>
      </w:pPr>
      <w:r w:rsidRPr="00EB2C0A">
        <w:rPr>
          <w:rFonts w:cs="Arial"/>
          <w:szCs w:val="24"/>
        </w:rPr>
        <w:t xml:space="preserve">In line with the Children and Families Act 2014 and SEND reforms, the local authority’s role is increasing as a commissioner of services rather than a provider. Harrow commissions a range of services for vulnerable children, young people and families, including those with SEND, either as a lead commissioner, or in partnership with the Clinical Commissioning Group (CCG). In addition, the CCG commissions health services for children and young people and adults with SEND and learning disabilities. </w:t>
      </w:r>
    </w:p>
    <w:p w:rsidR="003F5A1D" w:rsidRPr="00EB2C0A" w:rsidRDefault="003F5A1D" w:rsidP="003F5A1D">
      <w:pPr>
        <w:pStyle w:val="ListParagraph"/>
        <w:tabs>
          <w:tab w:val="left" w:pos="993"/>
        </w:tabs>
        <w:rPr>
          <w:rFonts w:cs="Arial"/>
          <w:szCs w:val="24"/>
        </w:rPr>
      </w:pPr>
    </w:p>
    <w:p w:rsidR="00CB7A9C" w:rsidRPr="003F5A1D" w:rsidRDefault="00650476" w:rsidP="003F5A1D">
      <w:pPr>
        <w:pStyle w:val="ListParagraph"/>
        <w:numPr>
          <w:ilvl w:val="0"/>
          <w:numId w:val="26"/>
        </w:numPr>
        <w:tabs>
          <w:tab w:val="left" w:pos="993"/>
        </w:tabs>
        <w:ind w:left="709" w:hanging="709"/>
      </w:pPr>
      <w:r w:rsidRPr="00650476">
        <w:rPr>
          <w:rFonts w:cs="Arial"/>
          <w:szCs w:val="24"/>
        </w:rPr>
        <w:t>The 0-</w:t>
      </w:r>
      <w:r w:rsidR="00B2366F">
        <w:rPr>
          <w:rFonts w:cs="Arial"/>
          <w:szCs w:val="24"/>
        </w:rPr>
        <w:t>25</w:t>
      </w:r>
      <w:r w:rsidRPr="00650476">
        <w:rPr>
          <w:rFonts w:cs="Arial"/>
          <w:szCs w:val="24"/>
        </w:rPr>
        <w:t xml:space="preserve"> Commissioning Plan presents the</w:t>
      </w:r>
      <w:r w:rsidR="00CB7A9C" w:rsidRPr="00650476">
        <w:rPr>
          <w:rFonts w:cs="Arial"/>
          <w:szCs w:val="24"/>
        </w:rPr>
        <w:t xml:space="preserve"> approach to commissioning services for vulnerable children and young people including those with special educational needs and disabilities. There is a review of recent commissioning activity and the priorities over the period of the SEND Strategy are highlighted. A high level commissioning plan</w:t>
      </w:r>
      <w:r>
        <w:rPr>
          <w:rFonts w:cs="Arial"/>
          <w:szCs w:val="24"/>
        </w:rPr>
        <w:t xml:space="preserve"> is also included.</w:t>
      </w:r>
      <w:r w:rsidR="00B2366F">
        <w:rPr>
          <w:rFonts w:cs="Arial"/>
          <w:szCs w:val="24"/>
        </w:rPr>
        <w:t xml:space="preserve"> The 0-25 Commissioning Plan is at Annexe B</w:t>
      </w:r>
    </w:p>
    <w:p w:rsidR="003F5A1D" w:rsidRPr="003F5A1D" w:rsidRDefault="003F5A1D" w:rsidP="003F5A1D">
      <w:pPr>
        <w:tabs>
          <w:tab w:val="left" w:pos="993"/>
        </w:tabs>
      </w:pPr>
    </w:p>
    <w:p w:rsidR="00650476" w:rsidRPr="00EB2C0A" w:rsidRDefault="00ED3EF4" w:rsidP="003F5A1D">
      <w:pPr>
        <w:pStyle w:val="ListParagraph"/>
        <w:numPr>
          <w:ilvl w:val="0"/>
          <w:numId w:val="26"/>
        </w:numPr>
        <w:tabs>
          <w:tab w:val="left" w:pos="993"/>
        </w:tabs>
        <w:autoSpaceDE w:val="0"/>
        <w:autoSpaceDN w:val="0"/>
        <w:adjustRightInd w:val="0"/>
        <w:ind w:left="709" w:hanging="709"/>
        <w:rPr>
          <w:rFonts w:cs="Arial"/>
          <w:szCs w:val="24"/>
        </w:rPr>
      </w:pPr>
      <w:r>
        <w:rPr>
          <w:rFonts w:cs="Arial"/>
          <w:szCs w:val="24"/>
        </w:rPr>
        <w:t xml:space="preserve">Commissioning for 0-25 is reported to the </w:t>
      </w:r>
      <w:r w:rsidR="00650476" w:rsidRPr="00EB2C0A">
        <w:rPr>
          <w:rFonts w:cs="Arial"/>
          <w:szCs w:val="24"/>
        </w:rPr>
        <w:t>Children and Young Peoples Executive</w:t>
      </w:r>
      <w:r>
        <w:rPr>
          <w:rFonts w:cs="Arial"/>
          <w:szCs w:val="24"/>
        </w:rPr>
        <w:t xml:space="preserve">. This </w:t>
      </w:r>
      <w:r w:rsidR="00650476" w:rsidRPr="00EB2C0A">
        <w:rPr>
          <w:rFonts w:cs="Arial"/>
          <w:szCs w:val="24"/>
        </w:rPr>
        <w:t xml:space="preserve">is a partnership group chaired by the Local Authority with senior representatives from CCG, Schools and People Services. The purpose of the group is to:  </w:t>
      </w:r>
    </w:p>
    <w:p w:rsidR="00650476" w:rsidRPr="00EB2C0A" w:rsidRDefault="00650476" w:rsidP="00650476">
      <w:pPr>
        <w:tabs>
          <w:tab w:val="left" w:pos="993"/>
        </w:tabs>
        <w:autoSpaceDE w:val="0"/>
        <w:autoSpaceDN w:val="0"/>
        <w:adjustRightInd w:val="0"/>
        <w:ind w:hanging="720"/>
        <w:rPr>
          <w:rFonts w:cs="Arial"/>
          <w:szCs w:val="24"/>
        </w:rPr>
      </w:pPr>
    </w:p>
    <w:p w:rsidR="00650476" w:rsidRPr="00EB2C0A" w:rsidRDefault="00650476" w:rsidP="003F5A1D">
      <w:pPr>
        <w:pStyle w:val="ListParagraph"/>
        <w:numPr>
          <w:ilvl w:val="0"/>
          <w:numId w:val="34"/>
        </w:numPr>
        <w:autoSpaceDE w:val="0"/>
        <w:autoSpaceDN w:val="0"/>
        <w:adjustRightInd w:val="0"/>
        <w:ind w:left="1134" w:hanging="425"/>
        <w:rPr>
          <w:rFonts w:cs="Arial"/>
          <w:szCs w:val="24"/>
          <w:lang w:eastAsia="en-GB"/>
        </w:rPr>
      </w:pPr>
      <w:r w:rsidRPr="00EB2C0A">
        <w:rPr>
          <w:rFonts w:cs="Arial"/>
          <w:szCs w:val="24"/>
          <w:lang w:eastAsia="en-GB"/>
        </w:rPr>
        <w:t>To jointly commission services for vulnerable children and young people.</w:t>
      </w:r>
    </w:p>
    <w:p w:rsidR="00650476" w:rsidRPr="00EB2C0A" w:rsidRDefault="00650476" w:rsidP="003F5A1D">
      <w:pPr>
        <w:pStyle w:val="ListParagraph"/>
        <w:numPr>
          <w:ilvl w:val="0"/>
          <w:numId w:val="34"/>
        </w:numPr>
        <w:autoSpaceDE w:val="0"/>
        <w:autoSpaceDN w:val="0"/>
        <w:adjustRightInd w:val="0"/>
        <w:ind w:left="1134" w:hanging="425"/>
        <w:contextualSpacing/>
        <w:rPr>
          <w:rFonts w:cs="Arial"/>
          <w:szCs w:val="24"/>
          <w:lang w:eastAsia="en-GB"/>
        </w:rPr>
      </w:pPr>
      <w:r w:rsidRPr="00EB2C0A">
        <w:rPr>
          <w:rFonts w:cs="Arial"/>
          <w:szCs w:val="24"/>
          <w:lang w:eastAsia="en-GB"/>
        </w:rPr>
        <w:t>To underpin the vision of the Health a</w:t>
      </w:r>
      <w:r>
        <w:rPr>
          <w:rFonts w:cs="Arial"/>
          <w:szCs w:val="24"/>
          <w:lang w:eastAsia="en-GB"/>
        </w:rPr>
        <w:t>nd Wellbeing board to help ‘all’</w:t>
      </w:r>
      <w:r w:rsidRPr="00EB2C0A">
        <w:rPr>
          <w:rFonts w:cs="Arial"/>
          <w:szCs w:val="24"/>
          <w:lang w:eastAsia="en-GB"/>
        </w:rPr>
        <w:t xml:space="preserve"> in Harrow to start well and live well.</w:t>
      </w:r>
    </w:p>
    <w:p w:rsidR="00650476" w:rsidRPr="00EB2C0A" w:rsidRDefault="00650476" w:rsidP="003F5A1D">
      <w:pPr>
        <w:pStyle w:val="ListParagraph"/>
        <w:numPr>
          <w:ilvl w:val="0"/>
          <w:numId w:val="34"/>
        </w:numPr>
        <w:autoSpaceDE w:val="0"/>
        <w:autoSpaceDN w:val="0"/>
        <w:adjustRightInd w:val="0"/>
        <w:ind w:left="1134" w:hanging="425"/>
        <w:contextualSpacing/>
        <w:rPr>
          <w:rFonts w:cs="Arial"/>
          <w:szCs w:val="24"/>
          <w:lang w:eastAsia="en-GB"/>
        </w:rPr>
      </w:pPr>
      <w:r w:rsidRPr="00EB2C0A">
        <w:rPr>
          <w:rFonts w:cs="Arial"/>
          <w:szCs w:val="24"/>
          <w:lang w:eastAsia="en-GB"/>
        </w:rPr>
        <w:t>To explore opportunities for Commissioning Services supporting transition to adulthood.</w:t>
      </w:r>
    </w:p>
    <w:p w:rsidR="00650476" w:rsidRPr="00EB2C0A" w:rsidRDefault="00650476" w:rsidP="00650476">
      <w:pPr>
        <w:tabs>
          <w:tab w:val="left" w:pos="993"/>
        </w:tabs>
        <w:autoSpaceDE w:val="0"/>
        <w:autoSpaceDN w:val="0"/>
        <w:adjustRightInd w:val="0"/>
        <w:ind w:hanging="720"/>
        <w:rPr>
          <w:rFonts w:cs="Arial"/>
          <w:szCs w:val="24"/>
          <w:lang w:eastAsia="en-GB"/>
        </w:rPr>
      </w:pPr>
    </w:p>
    <w:p w:rsidR="00650476" w:rsidRPr="00B2366F" w:rsidRDefault="007A6633" w:rsidP="00650476">
      <w:pPr>
        <w:pStyle w:val="ListParagraph"/>
        <w:numPr>
          <w:ilvl w:val="0"/>
          <w:numId w:val="26"/>
        </w:numPr>
        <w:tabs>
          <w:tab w:val="left" w:pos="993"/>
        </w:tabs>
        <w:autoSpaceDE w:val="0"/>
        <w:autoSpaceDN w:val="0"/>
        <w:adjustRightInd w:val="0"/>
        <w:ind w:hanging="720"/>
      </w:pPr>
      <w:r>
        <w:rPr>
          <w:rFonts w:cs="Arial"/>
          <w:szCs w:val="24"/>
          <w:lang w:eastAsia="en-GB"/>
        </w:rPr>
        <w:t>The G</w:t>
      </w:r>
      <w:r w:rsidR="00650476" w:rsidRPr="00B2366F">
        <w:rPr>
          <w:rFonts w:cs="Arial"/>
          <w:szCs w:val="24"/>
          <w:lang w:eastAsia="en-GB"/>
        </w:rPr>
        <w:t>roup work</w:t>
      </w:r>
      <w:r>
        <w:rPr>
          <w:rFonts w:cs="Arial"/>
          <w:szCs w:val="24"/>
          <w:lang w:eastAsia="en-GB"/>
        </w:rPr>
        <w:t>s</w:t>
      </w:r>
      <w:r w:rsidR="00650476" w:rsidRPr="00B2366F">
        <w:rPr>
          <w:rFonts w:cs="Arial"/>
          <w:szCs w:val="24"/>
          <w:lang w:eastAsia="en-GB"/>
        </w:rPr>
        <w:t xml:space="preserve"> together to deliver better outcomes and a more cost-effective service for each partner, than by working apart. The agendas cover integrated, joint and aligned commissioning as well as updates about commissioning by individual partners e.g. commissioning intentions. The work of the Commissioning Executive contributes to the SEND Strategy and improving outcomes for Children and Young People with SEND.</w:t>
      </w:r>
      <w:r w:rsidR="00B2366F" w:rsidRPr="00B2366F">
        <w:rPr>
          <w:rFonts w:cs="Arial"/>
          <w:szCs w:val="24"/>
          <w:lang w:eastAsia="en-GB"/>
        </w:rPr>
        <w:t xml:space="preserve"> </w:t>
      </w:r>
    </w:p>
    <w:p w:rsidR="00B2366F" w:rsidRPr="003F5A1D" w:rsidRDefault="00B2366F" w:rsidP="00B2366F">
      <w:pPr>
        <w:pStyle w:val="ListParagraph"/>
        <w:tabs>
          <w:tab w:val="left" w:pos="993"/>
        </w:tabs>
        <w:autoSpaceDE w:val="0"/>
        <w:autoSpaceDN w:val="0"/>
        <w:adjustRightInd w:val="0"/>
      </w:pPr>
    </w:p>
    <w:p w:rsidR="002A2389" w:rsidRPr="00B2366F" w:rsidRDefault="0063618B" w:rsidP="00B2366F">
      <w:pPr>
        <w:rPr>
          <w:rFonts w:cs="Arial"/>
          <w:b/>
        </w:rPr>
      </w:pPr>
      <w:r w:rsidRPr="00B2366F">
        <w:rPr>
          <w:rFonts w:cs="Arial"/>
          <w:b/>
        </w:rPr>
        <w:lastRenderedPageBreak/>
        <w:t xml:space="preserve">Local Area Inspection </w:t>
      </w:r>
      <w:r w:rsidR="003F5A1D" w:rsidRPr="00B2366F">
        <w:rPr>
          <w:rFonts w:cs="Arial"/>
          <w:b/>
        </w:rPr>
        <w:t>Self Evaluation (SEF)</w:t>
      </w:r>
    </w:p>
    <w:p w:rsidR="00B2366F" w:rsidRPr="00B2366F" w:rsidRDefault="00B2366F" w:rsidP="00B2366F">
      <w:pPr>
        <w:rPr>
          <w:rFonts w:cs="Arial"/>
        </w:rPr>
      </w:pPr>
    </w:p>
    <w:p w:rsidR="003F5A1D" w:rsidRPr="00B2366F" w:rsidRDefault="00B2366F" w:rsidP="00B2366F">
      <w:pPr>
        <w:pStyle w:val="ListParagraph"/>
        <w:numPr>
          <w:ilvl w:val="0"/>
          <w:numId w:val="26"/>
        </w:numPr>
        <w:autoSpaceDE w:val="0"/>
        <w:autoSpaceDN w:val="0"/>
        <w:adjustRightInd w:val="0"/>
        <w:ind w:hanging="720"/>
        <w:rPr>
          <w:rFonts w:cs="Arial"/>
        </w:rPr>
      </w:pPr>
      <w:r>
        <w:rPr>
          <w:rFonts w:cs="Arial"/>
          <w:szCs w:val="24"/>
          <w:lang w:eastAsia="en-GB"/>
        </w:rPr>
        <w:t>Duties for</w:t>
      </w:r>
      <w:r w:rsidRPr="00B2366F">
        <w:rPr>
          <w:rFonts w:cs="Arial"/>
          <w:szCs w:val="24"/>
          <w:lang w:eastAsia="en-GB"/>
        </w:rPr>
        <w:t xml:space="preserve"> local areas regarding provision for children and young people with special educational needs and/or disabilities are contained in the Children and Families Act 2014 (the Act). </w:t>
      </w:r>
      <w:r w:rsidR="006759ED" w:rsidRPr="00B2366F">
        <w:rPr>
          <w:rFonts w:cs="Arial"/>
          <w:szCs w:val="24"/>
          <w:lang w:eastAsia="en-GB"/>
        </w:rPr>
        <w:t>The local</w:t>
      </w:r>
      <w:r w:rsidRPr="00B2366F">
        <w:rPr>
          <w:rFonts w:cs="Arial"/>
          <w:szCs w:val="24"/>
          <w:lang w:eastAsia="en-GB"/>
        </w:rPr>
        <w:t xml:space="preserve"> </w:t>
      </w:r>
      <w:r w:rsidR="006759ED" w:rsidRPr="00B2366F">
        <w:rPr>
          <w:rFonts w:cs="Arial"/>
          <w:szCs w:val="24"/>
          <w:lang w:eastAsia="en-GB"/>
        </w:rPr>
        <w:t>area includes the local authority, clinical commissioning groups (CCGs), public</w:t>
      </w:r>
      <w:r w:rsidRPr="00B2366F">
        <w:rPr>
          <w:rFonts w:cs="Arial"/>
          <w:szCs w:val="24"/>
          <w:lang w:eastAsia="en-GB"/>
        </w:rPr>
        <w:t xml:space="preserve"> </w:t>
      </w:r>
      <w:r w:rsidR="006759ED" w:rsidRPr="00B2366F">
        <w:rPr>
          <w:rFonts w:cs="Arial"/>
          <w:szCs w:val="24"/>
          <w:lang w:eastAsia="en-GB"/>
        </w:rPr>
        <w:t>health, NHS England for specialist services, early year’s settings, schools and</w:t>
      </w:r>
      <w:r w:rsidRPr="00B2366F">
        <w:rPr>
          <w:rFonts w:cs="Arial"/>
          <w:szCs w:val="24"/>
          <w:lang w:eastAsia="en-GB"/>
        </w:rPr>
        <w:t xml:space="preserve"> </w:t>
      </w:r>
      <w:r w:rsidR="006759ED" w:rsidRPr="00B2366F">
        <w:rPr>
          <w:rFonts w:cs="Arial"/>
          <w:szCs w:val="24"/>
          <w:lang w:eastAsia="en-GB"/>
        </w:rPr>
        <w:t>further education providers.</w:t>
      </w:r>
      <w:r w:rsidRPr="00B2366F">
        <w:rPr>
          <w:rFonts w:cs="Arial"/>
          <w:szCs w:val="24"/>
          <w:lang w:eastAsia="en-GB"/>
        </w:rPr>
        <w:t xml:space="preserve"> Ofsted and the Care Quality Commission (CQC) are tasked to inspect local areas on their effectiveness in fulfilling </w:t>
      </w:r>
      <w:r>
        <w:rPr>
          <w:rFonts w:cs="Arial"/>
          <w:szCs w:val="24"/>
          <w:lang w:eastAsia="en-GB"/>
        </w:rPr>
        <w:t>these</w:t>
      </w:r>
      <w:r w:rsidRPr="00B2366F">
        <w:rPr>
          <w:rFonts w:cs="Arial"/>
          <w:szCs w:val="24"/>
          <w:lang w:eastAsia="en-GB"/>
        </w:rPr>
        <w:t xml:space="preserve"> duties.</w:t>
      </w:r>
    </w:p>
    <w:p w:rsidR="006759ED" w:rsidRPr="00B2366F" w:rsidRDefault="006759ED" w:rsidP="006759ED">
      <w:pPr>
        <w:pStyle w:val="ListParagraph"/>
        <w:rPr>
          <w:rFonts w:cs="Arial"/>
        </w:rPr>
      </w:pPr>
    </w:p>
    <w:p w:rsidR="00B2366F" w:rsidRDefault="00B2366F" w:rsidP="006759ED">
      <w:pPr>
        <w:pStyle w:val="ListParagraph"/>
        <w:numPr>
          <w:ilvl w:val="0"/>
          <w:numId w:val="26"/>
        </w:numPr>
        <w:ind w:hanging="720"/>
        <w:rPr>
          <w:rFonts w:cs="Arial"/>
        </w:rPr>
      </w:pPr>
      <w:r>
        <w:rPr>
          <w:rFonts w:cs="Arial"/>
        </w:rPr>
        <w:t>In preparation for the Local Area Inspection, a</w:t>
      </w:r>
      <w:r w:rsidR="0063618B" w:rsidRPr="00650476">
        <w:rPr>
          <w:rFonts w:cs="Arial"/>
        </w:rPr>
        <w:t>s a partnership, the Local Authority (LA), the Clinical Commissioning Group (CCG) and the Harrow Parent Forum (HPF) have committed to a common self evaluation that identifies strengths and pathway</w:t>
      </w:r>
      <w:r w:rsidR="00DF45E8" w:rsidRPr="00650476">
        <w:rPr>
          <w:rFonts w:cs="Arial"/>
        </w:rPr>
        <w:t>s</w:t>
      </w:r>
      <w:r>
        <w:rPr>
          <w:rFonts w:cs="Arial"/>
        </w:rPr>
        <w:t xml:space="preserve"> for improvement. The</w:t>
      </w:r>
      <w:r w:rsidR="0063618B" w:rsidRPr="00650476">
        <w:rPr>
          <w:rFonts w:cs="Arial"/>
        </w:rPr>
        <w:t xml:space="preserve"> self-evaluation has been informed and tested by the schools sector and voluntary sector representatives. </w:t>
      </w:r>
    </w:p>
    <w:p w:rsidR="00B2366F" w:rsidRPr="00B2366F" w:rsidRDefault="00B2366F" w:rsidP="00B2366F">
      <w:pPr>
        <w:pStyle w:val="ListParagraph"/>
        <w:rPr>
          <w:rFonts w:cs="Arial"/>
        </w:rPr>
      </w:pPr>
    </w:p>
    <w:p w:rsidR="0063618B" w:rsidRPr="00650476" w:rsidRDefault="0063618B" w:rsidP="006759ED">
      <w:pPr>
        <w:pStyle w:val="ListParagraph"/>
        <w:numPr>
          <w:ilvl w:val="0"/>
          <w:numId w:val="26"/>
        </w:numPr>
        <w:ind w:hanging="720"/>
        <w:rPr>
          <w:rFonts w:cs="Arial"/>
        </w:rPr>
      </w:pPr>
      <w:r w:rsidRPr="00650476">
        <w:rPr>
          <w:rFonts w:cs="Arial"/>
        </w:rPr>
        <w:t xml:space="preserve">The Local Authority (LA), CCG and the Harrow Parents Forum (HPF) have formed the Local Area Working Group to continuously improve the quality of our work and our outcomes. The group also has representatives from mainstream schools, special schools and voluntary groups. </w:t>
      </w:r>
    </w:p>
    <w:p w:rsidR="0063618B" w:rsidRPr="00BB14F3" w:rsidRDefault="0063618B" w:rsidP="006759ED">
      <w:pPr>
        <w:ind w:hanging="720"/>
        <w:rPr>
          <w:rFonts w:cs="Arial"/>
        </w:rPr>
      </w:pPr>
    </w:p>
    <w:p w:rsidR="00B2366F" w:rsidRDefault="0063618B" w:rsidP="006759ED">
      <w:pPr>
        <w:pStyle w:val="ListParagraph"/>
        <w:numPr>
          <w:ilvl w:val="0"/>
          <w:numId w:val="26"/>
        </w:numPr>
        <w:ind w:hanging="720"/>
        <w:rPr>
          <w:rFonts w:cs="Arial"/>
        </w:rPr>
      </w:pPr>
      <w:r w:rsidRPr="00650476">
        <w:rPr>
          <w:rFonts w:cs="Arial"/>
        </w:rPr>
        <w:t xml:space="preserve">The Local Area of Harrow is ambitious to do better for our children and young people with a special educational need and/or disability (SEND) and to ensure that those who may have such a need are identified and sign-posted to the appropriate support and guidance. As a Local Area </w:t>
      </w:r>
      <w:r w:rsidR="003F5A1D">
        <w:rPr>
          <w:rFonts w:cs="Arial"/>
        </w:rPr>
        <w:t>partners</w:t>
      </w:r>
      <w:r w:rsidRPr="00650476">
        <w:rPr>
          <w:rFonts w:cs="Arial"/>
        </w:rPr>
        <w:t xml:space="preserve"> are able to demonstrate many successes, including the outcomes that children and young people with a SEND achieve. </w:t>
      </w:r>
      <w:r w:rsidR="003F5A1D">
        <w:rPr>
          <w:rFonts w:cs="Arial"/>
        </w:rPr>
        <w:t xml:space="preserve">There is a </w:t>
      </w:r>
      <w:r w:rsidRPr="00650476">
        <w:rPr>
          <w:rFonts w:cs="Arial"/>
        </w:rPr>
        <w:t>mature cul</w:t>
      </w:r>
      <w:r w:rsidR="003F5A1D">
        <w:rPr>
          <w:rFonts w:cs="Arial"/>
        </w:rPr>
        <w:t>ture of learning and challenge</w:t>
      </w:r>
      <w:r w:rsidRPr="00650476">
        <w:rPr>
          <w:rFonts w:cs="Arial"/>
        </w:rPr>
        <w:t xml:space="preserve">. </w:t>
      </w:r>
      <w:r w:rsidR="003F5A1D">
        <w:rPr>
          <w:rFonts w:cs="Arial"/>
        </w:rPr>
        <w:t>The</w:t>
      </w:r>
      <w:r w:rsidRPr="00650476">
        <w:rPr>
          <w:rFonts w:cs="Arial"/>
        </w:rPr>
        <w:t xml:space="preserve"> culture of improvement has been commented upon by OFSTED and by an independent (</w:t>
      </w:r>
      <w:proofErr w:type="spellStart"/>
      <w:r w:rsidRPr="00650476">
        <w:rPr>
          <w:rFonts w:cs="Arial"/>
        </w:rPr>
        <w:t>PeopleToo</w:t>
      </w:r>
      <w:proofErr w:type="spellEnd"/>
      <w:r w:rsidRPr="00650476">
        <w:rPr>
          <w:rFonts w:cs="Arial"/>
        </w:rPr>
        <w:t xml:space="preserve">) analysis of the High Needs Block. </w:t>
      </w:r>
    </w:p>
    <w:p w:rsidR="00B2366F" w:rsidRPr="00B2366F" w:rsidRDefault="00B2366F" w:rsidP="00B2366F">
      <w:pPr>
        <w:pStyle w:val="ListParagraph"/>
        <w:rPr>
          <w:rFonts w:cs="Arial"/>
        </w:rPr>
      </w:pPr>
    </w:p>
    <w:p w:rsidR="006759ED" w:rsidRDefault="0063618B" w:rsidP="006759ED">
      <w:pPr>
        <w:pStyle w:val="ListParagraph"/>
        <w:numPr>
          <w:ilvl w:val="0"/>
          <w:numId w:val="26"/>
        </w:numPr>
        <w:ind w:hanging="720"/>
        <w:rPr>
          <w:rFonts w:cs="Arial"/>
        </w:rPr>
      </w:pPr>
      <w:r w:rsidRPr="00650476">
        <w:rPr>
          <w:rFonts w:cs="Arial"/>
        </w:rPr>
        <w:t xml:space="preserve">The Local Area, at this point in time, has come to a shared view of where </w:t>
      </w:r>
      <w:r w:rsidR="006759ED">
        <w:rPr>
          <w:rFonts w:cs="Arial"/>
        </w:rPr>
        <w:t>partners</w:t>
      </w:r>
      <w:r w:rsidRPr="00650476">
        <w:rPr>
          <w:rFonts w:cs="Arial"/>
        </w:rPr>
        <w:t xml:space="preserve"> are in </w:t>
      </w:r>
      <w:r w:rsidR="006759ED">
        <w:rPr>
          <w:rFonts w:cs="Arial"/>
        </w:rPr>
        <w:t>their</w:t>
      </w:r>
      <w:r w:rsidRPr="00650476">
        <w:rPr>
          <w:rFonts w:cs="Arial"/>
        </w:rPr>
        <w:t xml:space="preserve"> effectiveness in identifying the needs of children and young people, in meeting those needs and in securing good outcomes for them. Overall, there is much strength</w:t>
      </w:r>
      <w:r w:rsidR="006759ED">
        <w:rPr>
          <w:rFonts w:cs="Arial"/>
        </w:rPr>
        <w:t xml:space="preserve"> and the </w:t>
      </w:r>
      <w:r w:rsidRPr="00650476">
        <w:rPr>
          <w:rFonts w:cs="Arial"/>
        </w:rPr>
        <w:t xml:space="preserve">self evaluation is </w:t>
      </w:r>
      <w:r w:rsidR="006759ED">
        <w:rPr>
          <w:rFonts w:cs="Arial"/>
        </w:rPr>
        <w:t xml:space="preserve">a </w:t>
      </w:r>
      <w:r w:rsidRPr="00650476">
        <w:rPr>
          <w:rFonts w:cs="Arial"/>
        </w:rPr>
        <w:t xml:space="preserve">statement of where </w:t>
      </w:r>
      <w:r w:rsidR="00ED3EF4">
        <w:rPr>
          <w:rFonts w:cs="Arial"/>
        </w:rPr>
        <w:t xml:space="preserve">the partners </w:t>
      </w:r>
      <w:r w:rsidRPr="00650476">
        <w:rPr>
          <w:rFonts w:cs="Arial"/>
        </w:rPr>
        <w:t xml:space="preserve">are now and </w:t>
      </w:r>
      <w:r w:rsidR="006759ED">
        <w:rPr>
          <w:rFonts w:cs="Arial"/>
        </w:rPr>
        <w:t>the</w:t>
      </w:r>
      <w:r w:rsidR="00ED3EF4">
        <w:rPr>
          <w:rFonts w:cs="Arial"/>
        </w:rPr>
        <w:t>ir</w:t>
      </w:r>
      <w:r w:rsidR="006759ED">
        <w:rPr>
          <w:rFonts w:cs="Arial"/>
        </w:rPr>
        <w:t xml:space="preserve"> a</w:t>
      </w:r>
      <w:r w:rsidRPr="00650476">
        <w:rPr>
          <w:rFonts w:cs="Arial"/>
        </w:rPr>
        <w:t xml:space="preserve">mbition for the future. </w:t>
      </w:r>
    </w:p>
    <w:p w:rsidR="006759ED" w:rsidRPr="006759ED" w:rsidRDefault="006759ED" w:rsidP="006759ED">
      <w:pPr>
        <w:pStyle w:val="ListParagraph"/>
        <w:ind w:hanging="720"/>
        <w:rPr>
          <w:rFonts w:cs="Arial"/>
        </w:rPr>
      </w:pPr>
    </w:p>
    <w:p w:rsidR="00B2366F" w:rsidRDefault="00ED3EF4" w:rsidP="00B2366F">
      <w:pPr>
        <w:pStyle w:val="ListParagraph"/>
        <w:numPr>
          <w:ilvl w:val="0"/>
          <w:numId w:val="26"/>
        </w:numPr>
        <w:ind w:hanging="720"/>
        <w:rPr>
          <w:rFonts w:cs="Arial"/>
        </w:rPr>
      </w:pPr>
      <w:r>
        <w:rPr>
          <w:rFonts w:cs="Arial"/>
        </w:rPr>
        <w:t xml:space="preserve">The self-evaluation </w:t>
      </w:r>
      <w:r w:rsidR="0063618B" w:rsidRPr="00650476">
        <w:rPr>
          <w:rFonts w:cs="Arial"/>
        </w:rPr>
        <w:t>serves as a joint exercise between partners across the Local Area to review the effectiveness of provision in relation to identifying, meeting needs and improving outcomes of children and young people with special educational needs and disabilities. All partners give priority to the views of children, young people and their parents/carers to enable a culture of support, ownership, continuous growth and development.</w:t>
      </w:r>
      <w:r w:rsidR="00B2366F" w:rsidRPr="00B2366F">
        <w:rPr>
          <w:rFonts w:cs="Arial"/>
        </w:rPr>
        <w:t xml:space="preserve"> </w:t>
      </w:r>
    </w:p>
    <w:p w:rsidR="00B2366F" w:rsidRPr="00B2366F" w:rsidRDefault="00B2366F" w:rsidP="00B2366F">
      <w:pPr>
        <w:pStyle w:val="ListParagraph"/>
        <w:rPr>
          <w:rFonts w:cs="Arial"/>
        </w:rPr>
      </w:pPr>
    </w:p>
    <w:p w:rsidR="00B2366F" w:rsidRPr="009944BA" w:rsidRDefault="00B2366F" w:rsidP="00B2366F">
      <w:pPr>
        <w:pStyle w:val="ListParagraph"/>
        <w:numPr>
          <w:ilvl w:val="0"/>
          <w:numId w:val="26"/>
        </w:numPr>
        <w:ind w:hanging="720"/>
        <w:rPr>
          <w:rFonts w:cs="Arial"/>
        </w:rPr>
      </w:pPr>
      <w:r w:rsidRPr="009944BA">
        <w:rPr>
          <w:rFonts w:cs="Arial"/>
        </w:rPr>
        <w:t xml:space="preserve">The self-evaluation is a dynamic tool for partners to reflect constantly on practice, to test assertions and to identify next steps. The Self-Evaluation will be reviewed every six months. Areas for development include those aspects already in place but for which have identified </w:t>
      </w:r>
      <w:r w:rsidRPr="009944BA">
        <w:rPr>
          <w:rFonts w:cs="Arial"/>
        </w:rPr>
        <w:lastRenderedPageBreak/>
        <w:t xml:space="preserve">further refinements to make them more efficient or effective. The LA’s major priorities are captured in its SEND Strategy 2019-2024, other areas feature in the 0-19 Commissioning Plan. </w:t>
      </w:r>
      <w:r w:rsidR="009944BA" w:rsidRPr="009944BA">
        <w:rPr>
          <w:rFonts w:cs="Arial"/>
        </w:rPr>
        <w:t xml:space="preserve"> </w:t>
      </w:r>
      <w:r w:rsidRPr="009944BA">
        <w:rPr>
          <w:rFonts w:cs="Arial"/>
        </w:rPr>
        <w:t>A copy of the SEF is at Annexe C.</w:t>
      </w:r>
    </w:p>
    <w:p w:rsidR="0063618B" w:rsidRPr="00ED3EF4" w:rsidRDefault="0063618B" w:rsidP="00650476"/>
    <w:p w:rsidR="002A2389" w:rsidRDefault="002A2389" w:rsidP="00B2366F">
      <w:pPr>
        <w:pStyle w:val="Heading2"/>
      </w:pPr>
      <w:r>
        <w:t>Financial Implications</w:t>
      </w:r>
      <w:r w:rsidR="00BE1C78">
        <w:t xml:space="preserve"> </w:t>
      </w:r>
    </w:p>
    <w:p w:rsidR="00BE1C78" w:rsidRDefault="00BE1C78" w:rsidP="00650476"/>
    <w:p w:rsidR="009944BA" w:rsidRPr="00B37EA8" w:rsidRDefault="009944BA" w:rsidP="00B37EA8">
      <w:pPr>
        <w:pStyle w:val="ListParagraph"/>
        <w:numPr>
          <w:ilvl w:val="0"/>
          <w:numId w:val="26"/>
        </w:numPr>
        <w:ind w:hanging="720"/>
        <w:rPr>
          <w:rFonts w:cs="Arial"/>
        </w:rPr>
      </w:pPr>
      <w:r w:rsidRPr="00B37EA8">
        <w:rPr>
          <w:rFonts w:cs="Arial"/>
        </w:rPr>
        <w:t>There are significant pressures on the H</w:t>
      </w:r>
      <w:r w:rsidR="00B37EA8" w:rsidRPr="00B37EA8">
        <w:rPr>
          <w:rFonts w:cs="Arial"/>
        </w:rPr>
        <w:t>igh Needs Block (H</w:t>
      </w:r>
      <w:r w:rsidRPr="00B37EA8">
        <w:rPr>
          <w:rFonts w:cs="Arial"/>
        </w:rPr>
        <w:t>NB</w:t>
      </w:r>
      <w:r w:rsidR="00B37EA8" w:rsidRPr="00B37EA8">
        <w:rPr>
          <w:rFonts w:cs="Arial"/>
        </w:rPr>
        <w:t>)</w:t>
      </w:r>
      <w:r w:rsidRPr="00B37EA8">
        <w:rPr>
          <w:rFonts w:cs="Arial"/>
        </w:rPr>
        <w:t xml:space="preserve"> of the </w:t>
      </w:r>
      <w:r w:rsidR="00B37EA8" w:rsidRPr="00B37EA8">
        <w:rPr>
          <w:rFonts w:cs="Arial"/>
        </w:rPr>
        <w:t>Direct Schools Grant (</w:t>
      </w:r>
      <w:r w:rsidRPr="00B37EA8">
        <w:rPr>
          <w:rFonts w:cs="Arial"/>
        </w:rPr>
        <w:t>DSG</w:t>
      </w:r>
      <w:r w:rsidR="00B37EA8" w:rsidRPr="00B37EA8">
        <w:rPr>
          <w:rFonts w:cs="Arial"/>
        </w:rPr>
        <w:t>)</w:t>
      </w:r>
      <w:r w:rsidRPr="00B37EA8">
        <w:rPr>
          <w:rFonts w:cs="Arial"/>
        </w:rPr>
        <w:t xml:space="preserve"> due in part to a new national funding formula for High Needs being introduced in 2018-19 and continued growth in demand for and complexity of Education Health and Care Plans (EHCPs) and children requiring specialist SEN provision. Part of this is as a result of the SEND Reforms 2014 which increased the age range of pupils eligible for EHCPs from 0-25 years old compared with 5-19 years old prior to this. No additional funding has been received in the HNB to recognise the extended age range.</w:t>
      </w:r>
    </w:p>
    <w:p w:rsidR="009944BA" w:rsidRPr="006C453F" w:rsidRDefault="009944BA" w:rsidP="00B37EA8">
      <w:pPr>
        <w:ind w:hanging="720"/>
        <w:rPr>
          <w:rFonts w:cs="Arial"/>
        </w:rPr>
      </w:pPr>
    </w:p>
    <w:p w:rsidR="009944BA" w:rsidRPr="00B37EA8" w:rsidRDefault="009944BA" w:rsidP="00B37EA8">
      <w:pPr>
        <w:pStyle w:val="ListParagraph"/>
        <w:numPr>
          <w:ilvl w:val="0"/>
          <w:numId w:val="26"/>
        </w:numPr>
        <w:ind w:hanging="720"/>
        <w:rPr>
          <w:rFonts w:cs="Arial"/>
        </w:rPr>
      </w:pPr>
      <w:r w:rsidRPr="00B37EA8">
        <w:rPr>
          <w:rFonts w:cs="Arial"/>
        </w:rPr>
        <w:t>A key priority of the SEND Strategy is to enable more children to be educated in the borough which is more cost effective than children being educated at out of borough SEN provision in either maintained/academy provision or particularly in the independent and non-maintained sector. In addition this also causes pressure on the SEN home to school transport budg</w:t>
      </w:r>
      <w:r w:rsidR="00B37EA8">
        <w:rPr>
          <w:rFonts w:cs="Arial"/>
        </w:rPr>
        <w:t>et which is funded through the C</w:t>
      </w:r>
      <w:r w:rsidRPr="00B37EA8">
        <w:rPr>
          <w:rFonts w:cs="Arial"/>
        </w:rPr>
        <w:t>ouncil’s general fund.</w:t>
      </w:r>
    </w:p>
    <w:p w:rsidR="009944BA" w:rsidRDefault="009944BA" w:rsidP="00B37EA8">
      <w:pPr>
        <w:ind w:hanging="720"/>
        <w:rPr>
          <w:rFonts w:cs="Arial"/>
          <w:b/>
        </w:rPr>
      </w:pPr>
    </w:p>
    <w:p w:rsidR="001417FD" w:rsidRPr="00B37EA8" w:rsidRDefault="009944BA" w:rsidP="00B37EA8">
      <w:pPr>
        <w:pStyle w:val="ListParagraph"/>
        <w:numPr>
          <w:ilvl w:val="0"/>
          <w:numId w:val="26"/>
        </w:numPr>
        <w:ind w:hanging="720"/>
        <w:rPr>
          <w:rFonts w:cs="Arial"/>
        </w:rPr>
      </w:pPr>
      <w:r w:rsidRPr="00B37EA8">
        <w:rPr>
          <w:rFonts w:cs="Arial"/>
        </w:rPr>
        <w:t xml:space="preserve">There is currently </w:t>
      </w:r>
      <w:r w:rsidR="00ED3EF4">
        <w:rPr>
          <w:rFonts w:cs="Arial"/>
        </w:rPr>
        <w:t xml:space="preserve">£6.795m </w:t>
      </w:r>
      <w:r w:rsidR="00ED3EF4" w:rsidRPr="00B37EA8">
        <w:rPr>
          <w:rFonts w:cs="Arial"/>
        </w:rPr>
        <w:t xml:space="preserve">for SEN Provision </w:t>
      </w:r>
      <w:r w:rsidR="00ED3EF4">
        <w:rPr>
          <w:rFonts w:cs="Arial"/>
        </w:rPr>
        <w:t>in the capital programme for 2019-20 onwards</w:t>
      </w:r>
      <w:r w:rsidR="00B37EA8" w:rsidRPr="00B37EA8">
        <w:rPr>
          <w:rFonts w:cs="Arial"/>
        </w:rPr>
        <w:t xml:space="preserve">. </w:t>
      </w:r>
    </w:p>
    <w:p w:rsidR="00B37EA8" w:rsidRDefault="00B37EA8" w:rsidP="009944BA"/>
    <w:p w:rsidR="001417FD" w:rsidRDefault="009944BA" w:rsidP="009944BA">
      <w:pPr>
        <w:rPr>
          <w:b/>
          <w:sz w:val="28"/>
          <w:szCs w:val="28"/>
        </w:rPr>
      </w:pPr>
      <w:r>
        <w:rPr>
          <w:b/>
          <w:sz w:val="28"/>
          <w:szCs w:val="28"/>
        </w:rPr>
        <w:t>Legal Implications</w:t>
      </w:r>
    </w:p>
    <w:p w:rsidR="009944BA" w:rsidRPr="009944BA" w:rsidRDefault="009944BA" w:rsidP="009944BA">
      <w:pPr>
        <w:rPr>
          <w:b/>
          <w:sz w:val="28"/>
          <w:szCs w:val="28"/>
        </w:rPr>
      </w:pPr>
    </w:p>
    <w:p w:rsidR="009944BA" w:rsidRPr="00584A47" w:rsidRDefault="009944BA" w:rsidP="009944BA">
      <w:pPr>
        <w:pStyle w:val="ListParagraph"/>
        <w:numPr>
          <w:ilvl w:val="0"/>
          <w:numId w:val="26"/>
        </w:numPr>
        <w:ind w:hanging="720"/>
      </w:pPr>
      <w:r w:rsidRPr="009944BA">
        <w:rPr>
          <w:rFonts w:cs="Arial"/>
          <w:szCs w:val="24"/>
        </w:rPr>
        <w:t xml:space="preserve">The Children and Families Act 2014 made significant changes to the way that educational provision was assessed and provided for to children and young people with SEND.  Section 27 of the Act requires a local authority to keep under review its educational, training and social care provision for children and young people who have SEND and to consider the extent to which the provision is sufficient to meet need.  In exercising its functions a local authority must consult prescribed persons, including children and young people with SEND and parents.  The </w:t>
      </w:r>
      <w:r>
        <w:rPr>
          <w:rFonts w:cs="Arial"/>
          <w:szCs w:val="24"/>
        </w:rPr>
        <w:t xml:space="preserve">SEND </w:t>
      </w:r>
      <w:r w:rsidRPr="009944BA">
        <w:rPr>
          <w:rFonts w:cs="Arial"/>
          <w:szCs w:val="24"/>
        </w:rPr>
        <w:t xml:space="preserve">Strategy sets out the existing consultative forums and consultation and engagement will be undertaken on specific activities as aspects of the Strategy are implemented.  </w:t>
      </w:r>
    </w:p>
    <w:p w:rsidR="001417FD" w:rsidRDefault="001417FD" w:rsidP="009944BA"/>
    <w:p w:rsidR="00C32DAE" w:rsidRDefault="00C32DAE" w:rsidP="009944BA">
      <w:pPr>
        <w:pStyle w:val="Heading2"/>
      </w:pPr>
      <w:r>
        <w:t>Risk Management Implications</w:t>
      </w:r>
    </w:p>
    <w:p w:rsidR="00C32DAE" w:rsidRDefault="00C32DAE" w:rsidP="00650476">
      <w:pPr>
        <w:pStyle w:val="Heading1"/>
        <w:rPr>
          <w:b/>
          <w:sz w:val="24"/>
          <w:szCs w:val="24"/>
        </w:rPr>
      </w:pPr>
    </w:p>
    <w:p w:rsidR="00080819" w:rsidRPr="009944BA" w:rsidRDefault="009944BA" w:rsidP="009944BA">
      <w:pPr>
        <w:numPr>
          <w:ilvl w:val="0"/>
          <w:numId w:val="26"/>
        </w:numPr>
        <w:tabs>
          <w:tab w:val="left" w:pos="709"/>
        </w:tabs>
        <w:ind w:right="141" w:hanging="720"/>
        <w:rPr>
          <w:rFonts w:cs="Arial"/>
          <w:szCs w:val="24"/>
          <w:lang w:val="en-US" w:eastAsia="en-GB"/>
        </w:rPr>
      </w:pPr>
      <w:r w:rsidRPr="009944BA">
        <w:rPr>
          <w:rFonts w:cs="Arial"/>
          <w:szCs w:val="24"/>
          <w:lang w:val="en-US" w:eastAsia="en-GB"/>
        </w:rPr>
        <w:t xml:space="preserve">There are no immediate risk implications for this report. Risk registers will be developed and maintained for individual elements of the </w:t>
      </w:r>
      <w:r>
        <w:rPr>
          <w:rFonts w:cs="Arial"/>
          <w:szCs w:val="24"/>
          <w:lang w:val="en-US" w:eastAsia="en-GB"/>
        </w:rPr>
        <w:t xml:space="preserve">SEND </w:t>
      </w:r>
      <w:r w:rsidRPr="009944BA">
        <w:rPr>
          <w:rFonts w:cs="Arial"/>
          <w:szCs w:val="24"/>
          <w:lang w:val="en-US" w:eastAsia="en-GB"/>
        </w:rPr>
        <w:t xml:space="preserve">Strategy </w:t>
      </w:r>
      <w:r>
        <w:rPr>
          <w:rFonts w:cs="Arial"/>
          <w:szCs w:val="24"/>
          <w:lang w:val="en-US" w:eastAsia="en-GB"/>
        </w:rPr>
        <w:t xml:space="preserve">and 0-25 Commissioning Plan </w:t>
      </w:r>
      <w:r w:rsidRPr="009944BA">
        <w:rPr>
          <w:rFonts w:cs="Arial"/>
          <w:szCs w:val="24"/>
          <w:lang w:val="en-US" w:eastAsia="en-GB"/>
        </w:rPr>
        <w:t xml:space="preserve">as appropriate. </w:t>
      </w:r>
    </w:p>
    <w:p w:rsidR="009944BA" w:rsidRPr="00DD4251" w:rsidRDefault="009944BA" w:rsidP="00650476">
      <w:pPr>
        <w:ind w:right="141"/>
        <w:rPr>
          <w:rFonts w:cs="Arial"/>
          <w:szCs w:val="24"/>
          <w:lang w:val="en-US" w:eastAsia="en-GB"/>
        </w:rPr>
      </w:pPr>
    </w:p>
    <w:p w:rsidR="00FD31A0" w:rsidRPr="00A50388" w:rsidRDefault="00A50388" w:rsidP="009944BA">
      <w:pPr>
        <w:pStyle w:val="Heading2"/>
        <w:keepNext/>
        <w:rPr>
          <w:color w:val="FF0000"/>
        </w:rPr>
      </w:pPr>
      <w:r w:rsidRPr="004A2543">
        <w:t>Equalities implications</w:t>
      </w:r>
      <w:r>
        <w:t xml:space="preserve"> </w:t>
      </w:r>
      <w:r w:rsidRPr="00333FAA">
        <w:t>/</w:t>
      </w:r>
      <w:r>
        <w:t xml:space="preserve"> </w:t>
      </w:r>
      <w:r w:rsidRPr="00333FAA">
        <w:t>Public Sector Equality Duty</w:t>
      </w:r>
    </w:p>
    <w:p w:rsidR="00FD31A0" w:rsidRDefault="00FD31A0" w:rsidP="00650476">
      <w:pPr>
        <w:keepNext/>
      </w:pPr>
    </w:p>
    <w:p w:rsidR="00FD31A0" w:rsidRPr="004A2543" w:rsidRDefault="00FD31A0" w:rsidP="009944BA">
      <w:pPr>
        <w:pStyle w:val="ListParagraph"/>
        <w:numPr>
          <w:ilvl w:val="0"/>
          <w:numId w:val="26"/>
        </w:numPr>
        <w:ind w:hanging="720"/>
      </w:pPr>
      <w:r w:rsidRPr="004A2543">
        <w:t xml:space="preserve">Was an Equality Impact Assessment carried out?  </w:t>
      </w:r>
      <w:r>
        <w:t xml:space="preserve">No </w:t>
      </w:r>
    </w:p>
    <w:p w:rsidR="00FD31A0" w:rsidRPr="004A2543" w:rsidRDefault="00FD31A0" w:rsidP="009944BA">
      <w:pPr>
        <w:ind w:hanging="720"/>
      </w:pPr>
    </w:p>
    <w:p w:rsidR="00FD31A0" w:rsidRDefault="000A0F62" w:rsidP="009944BA">
      <w:pPr>
        <w:pStyle w:val="ListParagraph"/>
        <w:numPr>
          <w:ilvl w:val="0"/>
          <w:numId w:val="26"/>
        </w:numPr>
        <w:ind w:hanging="720"/>
      </w:pPr>
      <w:r>
        <w:lastRenderedPageBreak/>
        <w:t>The overarching aim for the SEND Strategy, Local Area Self Evaluation and 0-25 Commissioning Plan is to improve outcomes for children and young people with special educational needs and disabilities. When new services are co-designed and commissioned and propo</w:t>
      </w:r>
      <w:r w:rsidR="008565BD">
        <w:t xml:space="preserve">sals for new and changes to provision, </w:t>
      </w:r>
      <w:proofErr w:type="spellStart"/>
      <w:r w:rsidR="008565BD">
        <w:t>EqIAs</w:t>
      </w:r>
      <w:proofErr w:type="spellEnd"/>
      <w:r w:rsidR="008565BD">
        <w:t xml:space="preserve"> will be undertaken.</w:t>
      </w:r>
    </w:p>
    <w:p w:rsidR="000A0F62" w:rsidRPr="004A2543" w:rsidRDefault="000A0F62" w:rsidP="00650476"/>
    <w:p w:rsidR="00BF6C06" w:rsidRPr="00CD57D8" w:rsidRDefault="005874F0" w:rsidP="009944BA">
      <w:pPr>
        <w:pStyle w:val="Heading2"/>
      </w:pPr>
      <w:r>
        <w:t>Council</w:t>
      </w:r>
      <w:r w:rsidR="00D34145">
        <w:t xml:space="preserve"> </w:t>
      </w:r>
      <w:r w:rsidR="00BF6C06" w:rsidRPr="00CD57D8">
        <w:t>Priorities</w:t>
      </w:r>
    </w:p>
    <w:p w:rsidR="00BF6C06" w:rsidRDefault="00BF6C06" w:rsidP="00650476">
      <w:pPr>
        <w:keepNext/>
        <w:ind w:right="144"/>
        <w:rPr>
          <w:rFonts w:cs="Arial"/>
          <w:szCs w:val="24"/>
          <w:lang w:val="en-US"/>
        </w:rPr>
      </w:pPr>
    </w:p>
    <w:p w:rsidR="000110EA" w:rsidRPr="00650476" w:rsidRDefault="007F778C" w:rsidP="009944BA">
      <w:pPr>
        <w:pStyle w:val="ListParagraph"/>
        <w:keepNext/>
        <w:numPr>
          <w:ilvl w:val="0"/>
          <w:numId w:val="26"/>
        </w:numPr>
        <w:ind w:right="144" w:hanging="720"/>
        <w:rPr>
          <w:rFonts w:cs="Arial"/>
          <w:szCs w:val="24"/>
          <w:lang w:val="en-US"/>
        </w:rPr>
      </w:pPr>
      <w:r w:rsidRPr="00650476">
        <w:rPr>
          <w:rFonts w:cs="Arial"/>
          <w:szCs w:val="24"/>
          <w:lang w:val="en-US"/>
        </w:rPr>
        <w:t xml:space="preserve">The SEND Strategy, </w:t>
      </w:r>
      <w:r w:rsidR="009944BA">
        <w:rPr>
          <w:rFonts w:cs="Arial"/>
          <w:szCs w:val="24"/>
          <w:lang w:val="en-US"/>
        </w:rPr>
        <w:t>SEF</w:t>
      </w:r>
      <w:r w:rsidRPr="00650476">
        <w:rPr>
          <w:rFonts w:cs="Arial"/>
          <w:szCs w:val="24"/>
          <w:lang w:val="en-US"/>
        </w:rPr>
        <w:t xml:space="preserve"> and 0-</w:t>
      </w:r>
      <w:r w:rsidR="009944BA">
        <w:rPr>
          <w:rFonts w:cs="Arial"/>
          <w:szCs w:val="24"/>
          <w:lang w:val="en-US"/>
        </w:rPr>
        <w:t>25</w:t>
      </w:r>
      <w:r w:rsidRPr="00650476">
        <w:rPr>
          <w:rFonts w:cs="Arial"/>
          <w:szCs w:val="24"/>
          <w:lang w:val="en-US"/>
        </w:rPr>
        <w:t xml:space="preserve"> Commissioning Plan </w:t>
      </w:r>
      <w:r w:rsidR="009E6326" w:rsidRPr="00650476">
        <w:rPr>
          <w:rFonts w:cs="Arial"/>
          <w:szCs w:val="24"/>
          <w:lang w:val="en-US"/>
        </w:rPr>
        <w:t xml:space="preserve">with the intention to improve the outcomes for children and young people with special educational needs and disability </w:t>
      </w:r>
      <w:r w:rsidRPr="00650476">
        <w:rPr>
          <w:rFonts w:cs="Arial"/>
          <w:szCs w:val="24"/>
          <w:lang w:val="en-US"/>
        </w:rPr>
        <w:t>contribute to the Council priorities;</w:t>
      </w:r>
    </w:p>
    <w:p w:rsidR="000110EA" w:rsidRPr="00CD57D8" w:rsidRDefault="000110EA" w:rsidP="009944BA">
      <w:pPr>
        <w:keepNext/>
        <w:ind w:right="144" w:hanging="720"/>
        <w:rPr>
          <w:rFonts w:cs="Arial"/>
          <w:szCs w:val="24"/>
          <w:lang w:val="en-US"/>
        </w:rPr>
      </w:pPr>
    </w:p>
    <w:p w:rsidR="00A50388" w:rsidRPr="000720F8" w:rsidRDefault="00A50388" w:rsidP="009944BA">
      <w:pPr>
        <w:pStyle w:val="ListParagraph"/>
        <w:autoSpaceDE w:val="0"/>
        <w:autoSpaceDN w:val="0"/>
        <w:contextualSpacing/>
        <w:rPr>
          <w:b/>
          <w:bCs/>
        </w:rPr>
      </w:pPr>
      <w:r w:rsidRPr="000720F8">
        <w:rPr>
          <w:b/>
          <w:bCs/>
        </w:rPr>
        <w:t>Building a Better Harrow</w:t>
      </w:r>
      <w:r w:rsidR="007F778C">
        <w:rPr>
          <w:b/>
          <w:bCs/>
        </w:rPr>
        <w:t xml:space="preserve">: </w:t>
      </w:r>
    </w:p>
    <w:p w:rsidR="00A50388" w:rsidRDefault="00A50388" w:rsidP="009944BA">
      <w:pPr>
        <w:pStyle w:val="ListParagraph"/>
        <w:numPr>
          <w:ilvl w:val="0"/>
          <w:numId w:val="36"/>
        </w:numPr>
        <w:autoSpaceDE w:val="0"/>
        <w:autoSpaceDN w:val="0"/>
        <w:ind w:left="1276" w:hanging="567"/>
        <w:contextualSpacing/>
      </w:pPr>
      <w:r>
        <w:t>Ensure every Harrow child has a school place</w:t>
      </w:r>
    </w:p>
    <w:p w:rsidR="00A50388" w:rsidRDefault="00A50388" w:rsidP="009944BA">
      <w:pPr>
        <w:pStyle w:val="ListParagraph"/>
        <w:numPr>
          <w:ilvl w:val="0"/>
          <w:numId w:val="36"/>
        </w:numPr>
        <w:autoSpaceDE w:val="0"/>
        <w:autoSpaceDN w:val="0"/>
        <w:ind w:left="1276" w:hanging="567"/>
        <w:contextualSpacing/>
      </w:pPr>
      <w:r>
        <w:t>More people are actively engaged in sporting, artistic and cultural activities in ways that improve physical and mental health and community cohesion</w:t>
      </w:r>
    </w:p>
    <w:p w:rsidR="004116CA" w:rsidRDefault="004116CA" w:rsidP="00650476">
      <w:pPr>
        <w:pStyle w:val="ListParagraph"/>
        <w:autoSpaceDE w:val="0"/>
        <w:autoSpaceDN w:val="0"/>
        <w:contextualSpacing/>
        <w:rPr>
          <w:b/>
          <w:bCs/>
        </w:rPr>
      </w:pPr>
    </w:p>
    <w:p w:rsidR="00A50388" w:rsidRDefault="00A50388" w:rsidP="009944BA">
      <w:pPr>
        <w:pStyle w:val="ListParagraph"/>
        <w:autoSpaceDE w:val="0"/>
        <w:autoSpaceDN w:val="0"/>
        <w:contextualSpacing/>
        <w:rPr>
          <w:b/>
          <w:bCs/>
        </w:rPr>
      </w:pPr>
      <w:r>
        <w:rPr>
          <w:b/>
          <w:bCs/>
        </w:rPr>
        <w:t>Supporting Those Most in Need</w:t>
      </w:r>
    </w:p>
    <w:p w:rsidR="00A50388" w:rsidRDefault="00A50388" w:rsidP="009944BA">
      <w:pPr>
        <w:pStyle w:val="ListParagraph"/>
        <w:numPr>
          <w:ilvl w:val="0"/>
          <w:numId w:val="37"/>
        </w:numPr>
        <w:autoSpaceDE w:val="0"/>
        <w:autoSpaceDN w:val="0"/>
        <w:ind w:left="1276" w:hanging="567"/>
        <w:contextualSpacing/>
      </w:pPr>
      <w:r>
        <w:t>Empower residents to maintain their well-being and independence</w:t>
      </w:r>
    </w:p>
    <w:p w:rsidR="00A50388" w:rsidRDefault="00A50388" w:rsidP="009944BA">
      <w:pPr>
        <w:pStyle w:val="ListParagraph"/>
        <w:numPr>
          <w:ilvl w:val="0"/>
          <w:numId w:val="37"/>
        </w:numPr>
        <w:autoSpaceDE w:val="0"/>
        <w:autoSpaceDN w:val="0"/>
        <w:ind w:left="1276" w:hanging="567"/>
        <w:contextualSpacing/>
      </w:pPr>
      <w:r>
        <w:t>Children and young people are given the opportunities to have the best start in life and families can thrive</w:t>
      </w:r>
    </w:p>
    <w:p w:rsidR="00A50388" w:rsidRDefault="00A50388" w:rsidP="009944BA">
      <w:pPr>
        <w:pStyle w:val="ListParagraph"/>
        <w:numPr>
          <w:ilvl w:val="0"/>
          <w:numId w:val="37"/>
        </w:numPr>
        <w:autoSpaceDE w:val="0"/>
        <w:autoSpaceDN w:val="0"/>
        <w:ind w:left="1276" w:hanging="567"/>
        <w:contextualSpacing/>
      </w:pPr>
      <w:r>
        <w:t>Reduce the gap in life expectancy in the borough</w:t>
      </w:r>
    </w:p>
    <w:p w:rsidR="009944BA" w:rsidRDefault="009944BA" w:rsidP="009944BA">
      <w:pPr>
        <w:pStyle w:val="ListParagraph"/>
        <w:autoSpaceDE w:val="0"/>
        <w:autoSpaceDN w:val="0"/>
        <w:contextualSpacing/>
        <w:rPr>
          <w:b/>
          <w:bCs/>
        </w:rPr>
      </w:pPr>
    </w:p>
    <w:p w:rsidR="00A50388" w:rsidRDefault="00A50388" w:rsidP="009944BA">
      <w:pPr>
        <w:pStyle w:val="ListParagraph"/>
        <w:autoSpaceDE w:val="0"/>
        <w:autoSpaceDN w:val="0"/>
        <w:contextualSpacing/>
        <w:rPr>
          <w:b/>
          <w:bCs/>
        </w:rPr>
      </w:pPr>
      <w:r>
        <w:rPr>
          <w:b/>
          <w:bCs/>
        </w:rPr>
        <w:t>Protecting Vital Public Services</w:t>
      </w:r>
    </w:p>
    <w:p w:rsidR="00A50388" w:rsidRDefault="00A50388" w:rsidP="009944BA">
      <w:pPr>
        <w:pStyle w:val="ListParagraph"/>
        <w:numPr>
          <w:ilvl w:val="0"/>
          <w:numId w:val="38"/>
        </w:numPr>
        <w:autoSpaceDE w:val="0"/>
        <w:autoSpaceDN w:val="0"/>
        <w:ind w:left="1276" w:hanging="567"/>
        <w:contextualSpacing/>
      </w:pPr>
      <w:r>
        <w:t>Healthcare services meet the needs of Harrow residents</w:t>
      </w:r>
    </w:p>
    <w:p w:rsidR="00A50388" w:rsidRDefault="00A50388" w:rsidP="009944BA">
      <w:pPr>
        <w:pStyle w:val="ListParagraph"/>
        <w:numPr>
          <w:ilvl w:val="0"/>
          <w:numId w:val="38"/>
        </w:numPr>
        <w:autoSpaceDE w:val="0"/>
        <w:autoSpaceDN w:val="0"/>
        <w:ind w:left="1276" w:hanging="567"/>
        <w:contextualSpacing/>
      </w:pPr>
      <w:r>
        <w:t>Everyone has access to high quality education</w:t>
      </w:r>
    </w:p>
    <w:p w:rsidR="00A50388" w:rsidRDefault="00A50388" w:rsidP="009944BA">
      <w:pPr>
        <w:pStyle w:val="ListParagraph"/>
        <w:numPr>
          <w:ilvl w:val="0"/>
          <w:numId w:val="38"/>
        </w:numPr>
        <w:autoSpaceDE w:val="0"/>
        <w:autoSpaceDN w:val="0"/>
        <w:ind w:left="1276" w:hanging="567"/>
        <w:contextualSpacing/>
      </w:pPr>
      <w:r>
        <w:t>A strong and resourceful community sector, able to come together to deal with local issues</w:t>
      </w:r>
    </w:p>
    <w:p w:rsidR="007F778C" w:rsidRPr="007F778C" w:rsidRDefault="007F778C" w:rsidP="00650476">
      <w:pPr>
        <w:pStyle w:val="ListParagraph"/>
        <w:autoSpaceDE w:val="0"/>
        <w:autoSpaceDN w:val="0"/>
        <w:contextualSpacing/>
        <w:rPr>
          <w:b/>
          <w:bCs/>
        </w:rPr>
      </w:pPr>
    </w:p>
    <w:p w:rsidR="00A50388" w:rsidRDefault="00A50388" w:rsidP="009944BA">
      <w:pPr>
        <w:pStyle w:val="ListParagraph"/>
        <w:autoSpaceDE w:val="0"/>
        <w:autoSpaceDN w:val="0"/>
        <w:contextualSpacing/>
        <w:rPr>
          <w:b/>
          <w:bCs/>
        </w:rPr>
      </w:pPr>
      <w:r w:rsidRPr="000720F8">
        <w:rPr>
          <w:b/>
        </w:rPr>
        <w:t>Modernising</w:t>
      </w:r>
      <w:r>
        <w:rPr>
          <w:b/>
          <w:bCs/>
        </w:rPr>
        <w:t xml:space="preserve"> Harrow Council</w:t>
      </w:r>
    </w:p>
    <w:p w:rsidR="00A50388" w:rsidRDefault="00A50388" w:rsidP="009944BA">
      <w:pPr>
        <w:pStyle w:val="ListParagraph"/>
        <w:numPr>
          <w:ilvl w:val="0"/>
          <w:numId w:val="39"/>
        </w:numPr>
        <w:autoSpaceDE w:val="0"/>
        <w:autoSpaceDN w:val="0"/>
        <w:ind w:left="1276" w:hanging="567"/>
        <w:contextualSpacing/>
      </w:pPr>
      <w:r>
        <w:t>Deliver excellent value for money services</w:t>
      </w:r>
    </w:p>
    <w:p w:rsidR="00C32DAE" w:rsidRPr="00612A64" w:rsidRDefault="00C32DAE" w:rsidP="00650476">
      <w:pPr>
        <w:ind w:firstLine="60"/>
        <w:rPr>
          <w:rFonts w:ascii="Times New Roman" w:hAnsi="Times New Roman"/>
          <w:szCs w:val="24"/>
          <w:lang w:val="en-US"/>
        </w:rPr>
      </w:pPr>
    </w:p>
    <w:p w:rsidR="002A2389" w:rsidRDefault="002A2389" w:rsidP="009944BA">
      <w:pPr>
        <w:pStyle w:val="Heading1"/>
        <w:keepNext/>
      </w:pPr>
      <w:r>
        <w:t>Section 3 - Statutory Officer Clearance</w:t>
      </w:r>
      <w:r w:rsidR="00BE1C78">
        <w:t xml:space="preserve"> </w:t>
      </w:r>
      <w:r w:rsidR="001417FD">
        <w:t>(Council and Joint Reports)</w:t>
      </w:r>
    </w:p>
    <w:p w:rsidR="002A2389" w:rsidRDefault="002A2389" w:rsidP="00650476">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8"/>
        <w:gridCol w:w="146"/>
        <w:gridCol w:w="458"/>
        <w:gridCol w:w="112"/>
        <w:gridCol w:w="168"/>
        <w:gridCol w:w="54"/>
        <w:gridCol w:w="2989"/>
      </w:tblGrid>
      <w:tr w:rsidR="002A2389" w:rsidTr="009944BA">
        <w:tc>
          <w:tcPr>
            <w:tcW w:w="2792" w:type="pct"/>
            <w:gridSpan w:val="2"/>
            <w:tcBorders>
              <w:bottom w:val="nil"/>
              <w:right w:val="nil"/>
            </w:tcBorders>
          </w:tcPr>
          <w:p w:rsidR="002A2389" w:rsidRDefault="002A2389" w:rsidP="009944BA">
            <w:pPr>
              <w:pStyle w:val="Infotext"/>
            </w:pPr>
          </w:p>
        </w:tc>
        <w:tc>
          <w:tcPr>
            <w:tcW w:w="138" w:type="pct"/>
            <w:tcBorders>
              <w:left w:val="nil"/>
              <w:right w:val="nil"/>
            </w:tcBorders>
          </w:tcPr>
          <w:p w:rsidR="002A2389" w:rsidRDefault="002A2389" w:rsidP="009944BA">
            <w:pPr>
              <w:pStyle w:val="Infotext"/>
              <w:ind w:left="360"/>
            </w:pPr>
          </w:p>
        </w:tc>
        <w:tc>
          <w:tcPr>
            <w:tcW w:w="138" w:type="pct"/>
            <w:gridSpan w:val="2"/>
            <w:tcBorders>
              <w:left w:val="nil"/>
              <w:bottom w:val="nil"/>
              <w:right w:val="nil"/>
            </w:tcBorders>
          </w:tcPr>
          <w:p w:rsidR="002A2389" w:rsidRDefault="002A2389" w:rsidP="009944BA">
            <w:pPr>
              <w:pStyle w:val="Infotext"/>
              <w:ind w:left="360"/>
            </w:pPr>
          </w:p>
        </w:tc>
        <w:tc>
          <w:tcPr>
            <w:tcW w:w="1932" w:type="pct"/>
            <w:gridSpan w:val="2"/>
            <w:tcBorders>
              <w:left w:val="nil"/>
              <w:bottom w:val="nil"/>
            </w:tcBorders>
          </w:tcPr>
          <w:p w:rsidR="002A2389" w:rsidRDefault="002A2389" w:rsidP="00ED3EF4">
            <w:pPr>
              <w:pStyle w:val="Infotext"/>
              <w:ind w:left="360"/>
            </w:pPr>
            <w:r>
              <w:t>on behalf of the</w:t>
            </w:r>
          </w:p>
        </w:tc>
      </w:tr>
      <w:tr w:rsidR="002A2389" w:rsidTr="009944BA">
        <w:tc>
          <w:tcPr>
            <w:tcW w:w="2792" w:type="pct"/>
            <w:gridSpan w:val="2"/>
            <w:tcBorders>
              <w:top w:val="nil"/>
              <w:bottom w:val="nil"/>
            </w:tcBorders>
          </w:tcPr>
          <w:p w:rsidR="002A2389" w:rsidRDefault="002A2389" w:rsidP="009944BA">
            <w:pPr>
              <w:pStyle w:val="Infotext"/>
              <w:ind w:left="360"/>
            </w:pPr>
            <w:r>
              <w:t>Name:</w:t>
            </w:r>
            <w:r w:rsidR="00C171C8">
              <w:t xml:space="preserve">  </w:t>
            </w:r>
            <w:r w:rsidR="004116CA">
              <w:t>Jo Frost</w:t>
            </w:r>
          </w:p>
        </w:tc>
        <w:tc>
          <w:tcPr>
            <w:tcW w:w="138" w:type="pct"/>
            <w:tcBorders>
              <w:bottom w:val="single" w:sz="4" w:space="0" w:color="auto"/>
            </w:tcBorders>
          </w:tcPr>
          <w:p w:rsidR="002A2389" w:rsidRDefault="00ED3EF4" w:rsidP="00DF682F">
            <w:pPr>
              <w:pStyle w:val="Infotext"/>
              <w:ind w:left="51"/>
            </w:pPr>
            <w:r>
              <w:t>x</w:t>
            </w:r>
          </w:p>
        </w:tc>
        <w:tc>
          <w:tcPr>
            <w:tcW w:w="138" w:type="pct"/>
            <w:gridSpan w:val="2"/>
            <w:tcBorders>
              <w:top w:val="nil"/>
              <w:bottom w:val="nil"/>
              <w:right w:val="nil"/>
            </w:tcBorders>
          </w:tcPr>
          <w:p w:rsidR="002A2389" w:rsidRDefault="002A2389" w:rsidP="009944BA">
            <w:pPr>
              <w:pStyle w:val="Infotext"/>
              <w:ind w:left="360"/>
            </w:pPr>
          </w:p>
        </w:tc>
        <w:tc>
          <w:tcPr>
            <w:tcW w:w="1932" w:type="pct"/>
            <w:gridSpan w:val="2"/>
            <w:tcBorders>
              <w:top w:val="nil"/>
              <w:left w:val="nil"/>
              <w:bottom w:val="nil"/>
            </w:tcBorders>
          </w:tcPr>
          <w:p w:rsidR="002A2389" w:rsidRDefault="002A2389" w:rsidP="009944BA">
            <w:pPr>
              <w:pStyle w:val="Infotext"/>
              <w:ind w:left="360"/>
            </w:pPr>
            <w:r>
              <w:t>Chief Financial Officer</w:t>
            </w:r>
          </w:p>
        </w:tc>
      </w:tr>
      <w:tr w:rsidR="002A2389" w:rsidTr="009944BA">
        <w:tc>
          <w:tcPr>
            <w:tcW w:w="2792" w:type="pct"/>
            <w:gridSpan w:val="2"/>
            <w:tcBorders>
              <w:top w:val="nil"/>
              <w:right w:val="nil"/>
            </w:tcBorders>
          </w:tcPr>
          <w:p w:rsidR="002A2389" w:rsidRDefault="002A2389" w:rsidP="009944BA">
            <w:pPr>
              <w:pStyle w:val="Infotext"/>
              <w:ind w:left="360"/>
            </w:pPr>
          </w:p>
          <w:p w:rsidR="002A2389" w:rsidRDefault="002A2389" w:rsidP="009944BA">
            <w:pPr>
              <w:pStyle w:val="Infotext"/>
              <w:ind w:left="360"/>
            </w:pPr>
            <w:r>
              <w:t xml:space="preserve">Date: </w:t>
            </w:r>
            <w:r w:rsidR="00C171C8">
              <w:t xml:space="preserve"> </w:t>
            </w:r>
            <w:r w:rsidR="00ED3EF4">
              <w:t>24</w:t>
            </w:r>
            <w:r w:rsidR="00ED3EF4" w:rsidRPr="00ED3EF4">
              <w:rPr>
                <w:vertAlign w:val="superscript"/>
              </w:rPr>
              <w:t>th</w:t>
            </w:r>
            <w:r w:rsidR="00ED3EF4">
              <w:t xml:space="preserve"> June 2019</w:t>
            </w:r>
          </w:p>
        </w:tc>
        <w:tc>
          <w:tcPr>
            <w:tcW w:w="138" w:type="pct"/>
            <w:tcBorders>
              <w:left w:val="nil"/>
              <w:bottom w:val="single" w:sz="4" w:space="0" w:color="auto"/>
              <w:right w:val="nil"/>
            </w:tcBorders>
          </w:tcPr>
          <w:p w:rsidR="002A2389" w:rsidRDefault="002A2389" w:rsidP="009944BA">
            <w:pPr>
              <w:pStyle w:val="Infotext"/>
              <w:ind w:left="360"/>
            </w:pPr>
          </w:p>
        </w:tc>
        <w:tc>
          <w:tcPr>
            <w:tcW w:w="138" w:type="pct"/>
            <w:gridSpan w:val="2"/>
            <w:tcBorders>
              <w:top w:val="nil"/>
              <w:left w:val="nil"/>
              <w:right w:val="nil"/>
            </w:tcBorders>
          </w:tcPr>
          <w:p w:rsidR="002A2389" w:rsidRDefault="002A2389" w:rsidP="009944BA">
            <w:pPr>
              <w:pStyle w:val="Infotext"/>
              <w:ind w:left="360"/>
            </w:pPr>
          </w:p>
        </w:tc>
        <w:tc>
          <w:tcPr>
            <w:tcW w:w="1932" w:type="pct"/>
            <w:gridSpan w:val="2"/>
            <w:tcBorders>
              <w:top w:val="nil"/>
              <w:left w:val="nil"/>
            </w:tcBorders>
          </w:tcPr>
          <w:p w:rsidR="002A2389" w:rsidRDefault="002A2389" w:rsidP="009944BA">
            <w:pPr>
              <w:pStyle w:val="Infotext"/>
              <w:ind w:left="360"/>
            </w:pPr>
          </w:p>
        </w:tc>
      </w:tr>
      <w:tr w:rsidR="002A2389" w:rsidTr="009944BA">
        <w:tc>
          <w:tcPr>
            <w:tcW w:w="2792" w:type="pct"/>
            <w:gridSpan w:val="2"/>
            <w:tcBorders>
              <w:bottom w:val="nil"/>
              <w:right w:val="nil"/>
            </w:tcBorders>
          </w:tcPr>
          <w:p w:rsidR="002A2389" w:rsidRDefault="002A2389" w:rsidP="009944BA">
            <w:pPr>
              <w:pStyle w:val="Infotext"/>
            </w:pPr>
          </w:p>
        </w:tc>
        <w:tc>
          <w:tcPr>
            <w:tcW w:w="138" w:type="pct"/>
            <w:tcBorders>
              <w:left w:val="nil"/>
              <w:right w:val="nil"/>
            </w:tcBorders>
          </w:tcPr>
          <w:p w:rsidR="002A2389" w:rsidRDefault="002A2389" w:rsidP="009944BA">
            <w:pPr>
              <w:pStyle w:val="Infotext"/>
              <w:ind w:left="360"/>
            </w:pPr>
          </w:p>
        </w:tc>
        <w:tc>
          <w:tcPr>
            <w:tcW w:w="138" w:type="pct"/>
            <w:gridSpan w:val="2"/>
            <w:tcBorders>
              <w:left w:val="nil"/>
              <w:bottom w:val="nil"/>
              <w:right w:val="nil"/>
            </w:tcBorders>
          </w:tcPr>
          <w:p w:rsidR="002A2389" w:rsidRDefault="002A2389" w:rsidP="009944BA">
            <w:pPr>
              <w:pStyle w:val="Infotext"/>
              <w:ind w:left="360"/>
            </w:pPr>
          </w:p>
        </w:tc>
        <w:tc>
          <w:tcPr>
            <w:tcW w:w="1932" w:type="pct"/>
            <w:gridSpan w:val="2"/>
            <w:tcBorders>
              <w:left w:val="nil"/>
              <w:bottom w:val="nil"/>
            </w:tcBorders>
          </w:tcPr>
          <w:p w:rsidR="002A2389" w:rsidRDefault="002A2389" w:rsidP="00634056">
            <w:pPr>
              <w:pStyle w:val="Infotext"/>
              <w:ind w:left="360"/>
            </w:pPr>
            <w:r>
              <w:t>on behalf of the</w:t>
            </w:r>
            <w:bookmarkStart w:id="0" w:name="_GoBack"/>
            <w:bookmarkEnd w:id="0"/>
          </w:p>
        </w:tc>
      </w:tr>
      <w:tr w:rsidR="002A2389" w:rsidTr="009944BA">
        <w:tc>
          <w:tcPr>
            <w:tcW w:w="2792" w:type="pct"/>
            <w:gridSpan w:val="2"/>
            <w:tcBorders>
              <w:top w:val="nil"/>
              <w:bottom w:val="nil"/>
            </w:tcBorders>
          </w:tcPr>
          <w:p w:rsidR="002A2389" w:rsidRDefault="002A2389" w:rsidP="009944BA">
            <w:pPr>
              <w:pStyle w:val="Infotext"/>
              <w:ind w:left="360"/>
            </w:pPr>
            <w:r>
              <w:t xml:space="preserve">Name: </w:t>
            </w:r>
            <w:r w:rsidR="00C171C8">
              <w:t xml:space="preserve"> </w:t>
            </w:r>
            <w:r w:rsidR="004116CA">
              <w:t>Sarah Wilson</w:t>
            </w:r>
          </w:p>
        </w:tc>
        <w:tc>
          <w:tcPr>
            <w:tcW w:w="138" w:type="pct"/>
            <w:tcBorders>
              <w:bottom w:val="single" w:sz="4" w:space="0" w:color="auto"/>
            </w:tcBorders>
          </w:tcPr>
          <w:p w:rsidR="002A2389" w:rsidRDefault="006679D3" w:rsidP="006679D3">
            <w:pPr>
              <w:pStyle w:val="Infotext"/>
              <w:ind w:left="51"/>
            </w:pPr>
            <w:r>
              <w:t>x</w:t>
            </w:r>
          </w:p>
          <w:p w:rsidR="006679D3" w:rsidRDefault="006679D3" w:rsidP="006679D3">
            <w:pPr>
              <w:pStyle w:val="Infotext"/>
              <w:ind w:left="51"/>
            </w:pPr>
          </w:p>
        </w:tc>
        <w:tc>
          <w:tcPr>
            <w:tcW w:w="138" w:type="pct"/>
            <w:gridSpan w:val="2"/>
            <w:tcBorders>
              <w:top w:val="nil"/>
              <w:bottom w:val="nil"/>
              <w:right w:val="nil"/>
            </w:tcBorders>
          </w:tcPr>
          <w:p w:rsidR="002A2389" w:rsidRDefault="002A2389" w:rsidP="009944BA">
            <w:pPr>
              <w:pStyle w:val="Infotext"/>
              <w:ind w:left="360"/>
            </w:pPr>
          </w:p>
        </w:tc>
        <w:tc>
          <w:tcPr>
            <w:tcW w:w="1932" w:type="pct"/>
            <w:gridSpan w:val="2"/>
            <w:tcBorders>
              <w:top w:val="nil"/>
              <w:left w:val="nil"/>
              <w:bottom w:val="nil"/>
            </w:tcBorders>
          </w:tcPr>
          <w:p w:rsidR="002A2389" w:rsidRDefault="002A2389" w:rsidP="009944BA">
            <w:pPr>
              <w:pStyle w:val="Infotext"/>
              <w:ind w:left="360"/>
            </w:pPr>
            <w:r>
              <w:t>Monitoring Officer</w:t>
            </w:r>
          </w:p>
        </w:tc>
      </w:tr>
      <w:tr w:rsidR="002A2389" w:rsidTr="009944BA">
        <w:tc>
          <w:tcPr>
            <w:tcW w:w="2792" w:type="pct"/>
            <w:gridSpan w:val="2"/>
            <w:tcBorders>
              <w:top w:val="nil"/>
              <w:right w:val="nil"/>
            </w:tcBorders>
          </w:tcPr>
          <w:p w:rsidR="002A2389" w:rsidRDefault="002A2389" w:rsidP="009944BA">
            <w:pPr>
              <w:pStyle w:val="Infotext"/>
              <w:ind w:left="360"/>
            </w:pPr>
          </w:p>
          <w:p w:rsidR="002A2389" w:rsidRDefault="002A2389" w:rsidP="009944BA">
            <w:pPr>
              <w:pStyle w:val="Infotext"/>
              <w:ind w:left="360"/>
            </w:pPr>
            <w:r>
              <w:lastRenderedPageBreak/>
              <w:t xml:space="preserve">Date: </w:t>
            </w:r>
            <w:r w:rsidR="00C171C8">
              <w:t xml:space="preserve"> </w:t>
            </w:r>
            <w:r w:rsidR="006679D3">
              <w:t>24</w:t>
            </w:r>
            <w:r w:rsidR="006679D3" w:rsidRPr="006679D3">
              <w:rPr>
                <w:vertAlign w:val="superscript"/>
              </w:rPr>
              <w:t>th</w:t>
            </w:r>
            <w:r w:rsidR="006679D3">
              <w:t xml:space="preserve"> June 2019</w:t>
            </w:r>
          </w:p>
        </w:tc>
        <w:tc>
          <w:tcPr>
            <w:tcW w:w="138" w:type="pct"/>
            <w:tcBorders>
              <w:left w:val="nil"/>
              <w:right w:val="nil"/>
            </w:tcBorders>
          </w:tcPr>
          <w:p w:rsidR="002A2389" w:rsidRDefault="002A2389" w:rsidP="009944BA">
            <w:pPr>
              <w:pStyle w:val="Infotext"/>
              <w:ind w:left="360"/>
            </w:pPr>
          </w:p>
        </w:tc>
        <w:tc>
          <w:tcPr>
            <w:tcW w:w="138" w:type="pct"/>
            <w:gridSpan w:val="2"/>
            <w:tcBorders>
              <w:top w:val="nil"/>
              <w:left w:val="nil"/>
              <w:right w:val="nil"/>
            </w:tcBorders>
          </w:tcPr>
          <w:p w:rsidR="002A2389" w:rsidRDefault="002A2389" w:rsidP="009944BA">
            <w:pPr>
              <w:pStyle w:val="Infotext"/>
              <w:ind w:left="360"/>
            </w:pPr>
          </w:p>
        </w:tc>
        <w:tc>
          <w:tcPr>
            <w:tcW w:w="1932" w:type="pct"/>
            <w:gridSpan w:val="2"/>
            <w:tcBorders>
              <w:top w:val="nil"/>
              <w:left w:val="nil"/>
            </w:tcBorders>
          </w:tcPr>
          <w:p w:rsidR="002A2389" w:rsidRDefault="002A2389" w:rsidP="009944BA">
            <w:pPr>
              <w:pStyle w:val="Infotext"/>
              <w:ind w:left="360"/>
            </w:pPr>
          </w:p>
          <w:p w:rsidR="002A2389" w:rsidRDefault="002A2389" w:rsidP="009944BA">
            <w:pPr>
              <w:pStyle w:val="Infotext"/>
            </w:pPr>
          </w:p>
        </w:tc>
      </w:tr>
      <w:tr w:rsidR="00080819" w:rsidTr="009944BA">
        <w:tc>
          <w:tcPr>
            <w:tcW w:w="2748" w:type="pct"/>
            <w:tcBorders>
              <w:bottom w:val="nil"/>
              <w:right w:val="nil"/>
            </w:tcBorders>
          </w:tcPr>
          <w:p w:rsidR="00080819" w:rsidRDefault="00080819" w:rsidP="009944BA">
            <w:pPr>
              <w:pStyle w:val="Infotext"/>
              <w:ind w:left="360"/>
            </w:pPr>
          </w:p>
          <w:p w:rsidR="00080819" w:rsidRDefault="00080819" w:rsidP="009944BA">
            <w:pPr>
              <w:pStyle w:val="Infotext"/>
            </w:pPr>
          </w:p>
        </w:tc>
        <w:tc>
          <w:tcPr>
            <w:tcW w:w="216" w:type="pct"/>
            <w:gridSpan w:val="3"/>
            <w:tcBorders>
              <w:left w:val="nil"/>
              <w:right w:val="nil"/>
            </w:tcBorders>
          </w:tcPr>
          <w:p w:rsidR="00080819" w:rsidRDefault="00080819" w:rsidP="009944BA">
            <w:pPr>
              <w:pStyle w:val="Infotext"/>
              <w:ind w:left="360"/>
            </w:pPr>
          </w:p>
        </w:tc>
        <w:tc>
          <w:tcPr>
            <w:tcW w:w="138" w:type="pct"/>
            <w:gridSpan w:val="2"/>
            <w:tcBorders>
              <w:left w:val="nil"/>
              <w:bottom w:val="nil"/>
              <w:right w:val="nil"/>
            </w:tcBorders>
          </w:tcPr>
          <w:p w:rsidR="00080819" w:rsidRDefault="00080819" w:rsidP="009944BA">
            <w:pPr>
              <w:pStyle w:val="Infotext"/>
              <w:ind w:left="360"/>
            </w:pPr>
          </w:p>
        </w:tc>
        <w:tc>
          <w:tcPr>
            <w:tcW w:w="1899" w:type="pct"/>
            <w:tcBorders>
              <w:left w:val="nil"/>
              <w:bottom w:val="nil"/>
            </w:tcBorders>
          </w:tcPr>
          <w:p w:rsidR="00080819" w:rsidRDefault="00080819" w:rsidP="009944BA">
            <w:pPr>
              <w:pStyle w:val="Infotext"/>
              <w:ind w:left="360"/>
            </w:pPr>
          </w:p>
          <w:p w:rsidR="00080819" w:rsidRDefault="00080819" w:rsidP="009944BA">
            <w:pPr>
              <w:pStyle w:val="Infotext"/>
            </w:pPr>
          </w:p>
        </w:tc>
      </w:tr>
      <w:tr w:rsidR="00080819" w:rsidTr="009944BA">
        <w:tc>
          <w:tcPr>
            <w:tcW w:w="2748" w:type="pct"/>
            <w:tcBorders>
              <w:top w:val="nil"/>
              <w:bottom w:val="nil"/>
            </w:tcBorders>
          </w:tcPr>
          <w:p w:rsidR="00080819" w:rsidRDefault="00080819" w:rsidP="009944BA">
            <w:pPr>
              <w:pStyle w:val="Infotext"/>
              <w:ind w:left="360"/>
            </w:pPr>
            <w:r>
              <w:t xml:space="preserve">Name: </w:t>
            </w:r>
            <w:r w:rsidR="00C171C8">
              <w:t xml:space="preserve"> </w:t>
            </w:r>
            <w:r w:rsidR="004116CA">
              <w:t>Paul Hewitt</w:t>
            </w:r>
          </w:p>
        </w:tc>
        <w:tc>
          <w:tcPr>
            <w:tcW w:w="216" w:type="pct"/>
            <w:gridSpan w:val="3"/>
            <w:tcBorders>
              <w:bottom w:val="single" w:sz="4" w:space="0" w:color="auto"/>
            </w:tcBorders>
          </w:tcPr>
          <w:p w:rsidR="00080819" w:rsidRDefault="003C4125" w:rsidP="009944BA">
            <w:pPr>
              <w:pStyle w:val="Infotext"/>
              <w:ind w:left="360"/>
            </w:pPr>
            <w:r>
              <w:t>x</w:t>
            </w:r>
          </w:p>
        </w:tc>
        <w:tc>
          <w:tcPr>
            <w:tcW w:w="138" w:type="pct"/>
            <w:gridSpan w:val="2"/>
            <w:tcBorders>
              <w:top w:val="nil"/>
              <w:bottom w:val="nil"/>
              <w:right w:val="nil"/>
            </w:tcBorders>
          </w:tcPr>
          <w:p w:rsidR="00080819" w:rsidRDefault="00080819" w:rsidP="009944BA">
            <w:pPr>
              <w:pStyle w:val="Infotext"/>
              <w:ind w:left="360"/>
            </w:pPr>
          </w:p>
        </w:tc>
        <w:tc>
          <w:tcPr>
            <w:tcW w:w="1899" w:type="pct"/>
            <w:tcBorders>
              <w:top w:val="nil"/>
              <w:left w:val="nil"/>
              <w:bottom w:val="nil"/>
            </w:tcBorders>
          </w:tcPr>
          <w:p w:rsidR="00080819" w:rsidRDefault="00080819" w:rsidP="009944BA">
            <w:pPr>
              <w:pStyle w:val="Infotext"/>
              <w:ind w:left="360"/>
            </w:pPr>
            <w:r>
              <w:t>Corporate Director</w:t>
            </w:r>
          </w:p>
        </w:tc>
      </w:tr>
      <w:tr w:rsidR="00080819" w:rsidTr="009944BA">
        <w:tc>
          <w:tcPr>
            <w:tcW w:w="2748" w:type="pct"/>
            <w:tcBorders>
              <w:top w:val="nil"/>
              <w:right w:val="nil"/>
            </w:tcBorders>
          </w:tcPr>
          <w:p w:rsidR="00080819" w:rsidRDefault="00080819" w:rsidP="009944BA">
            <w:pPr>
              <w:pStyle w:val="Infotext"/>
              <w:ind w:left="360"/>
            </w:pPr>
          </w:p>
          <w:p w:rsidR="00080819" w:rsidRDefault="00080819" w:rsidP="009944BA">
            <w:pPr>
              <w:pStyle w:val="Infotext"/>
              <w:ind w:left="360"/>
            </w:pPr>
            <w:r>
              <w:t xml:space="preserve">Date: </w:t>
            </w:r>
            <w:r w:rsidR="00C171C8">
              <w:t xml:space="preserve"> </w:t>
            </w:r>
            <w:r w:rsidR="003C4125">
              <w:t>24</w:t>
            </w:r>
            <w:r w:rsidR="003C4125" w:rsidRPr="003C4125">
              <w:rPr>
                <w:vertAlign w:val="superscript"/>
              </w:rPr>
              <w:t>th</w:t>
            </w:r>
            <w:r w:rsidR="003C4125">
              <w:t>. June 2019</w:t>
            </w:r>
          </w:p>
        </w:tc>
        <w:tc>
          <w:tcPr>
            <w:tcW w:w="216" w:type="pct"/>
            <w:gridSpan w:val="3"/>
            <w:tcBorders>
              <w:left w:val="nil"/>
              <w:bottom w:val="single" w:sz="4" w:space="0" w:color="auto"/>
              <w:right w:val="nil"/>
            </w:tcBorders>
          </w:tcPr>
          <w:p w:rsidR="00080819" w:rsidRDefault="00080819" w:rsidP="009944BA">
            <w:pPr>
              <w:pStyle w:val="Infotext"/>
              <w:ind w:left="360"/>
            </w:pPr>
          </w:p>
        </w:tc>
        <w:tc>
          <w:tcPr>
            <w:tcW w:w="138" w:type="pct"/>
            <w:gridSpan w:val="2"/>
            <w:tcBorders>
              <w:top w:val="nil"/>
              <w:left w:val="nil"/>
              <w:right w:val="nil"/>
            </w:tcBorders>
          </w:tcPr>
          <w:p w:rsidR="00080819" w:rsidRDefault="00080819" w:rsidP="009944BA">
            <w:pPr>
              <w:pStyle w:val="Infotext"/>
              <w:ind w:left="360"/>
            </w:pPr>
          </w:p>
        </w:tc>
        <w:tc>
          <w:tcPr>
            <w:tcW w:w="1899" w:type="pct"/>
            <w:tcBorders>
              <w:top w:val="nil"/>
              <w:left w:val="nil"/>
            </w:tcBorders>
          </w:tcPr>
          <w:p w:rsidR="00080819" w:rsidRDefault="00080819" w:rsidP="009944BA">
            <w:pPr>
              <w:pStyle w:val="Infotext"/>
              <w:ind w:left="360"/>
            </w:pPr>
          </w:p>
        </w:tc>
      </w:tr>
    </w:tbl>
    <w:p w:rsidR="00A51FAE" w:rsidRDefault="00A51FAE" w:rsidP="009944BA">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9944BA">
            <w:pPr>
              <w:pStyle w:val="Infotext"/>
              <w:ind w:left="360"/>
              <w:rPr>
                <w:rFonts w:ascii="Arial Black" w:hAnsi="Arial Black"/>
              </w:rPr>
            </w:pPr>
          </w:p>
          <w:p w:rsidR="00A51FAE" w:rsidRDefault="00A51FAE" w:rsidP="009944BA">
            <w:pPr>
              <w:pStyle w:val="Infotext"/>
              <w:ind w:left="360"/>
              <w:rPr>
                <w:rFonts w:ascii="Arial Black" w:hAnsi="Arial Black"/>
              </w:rPr>
            </w:pPr>
            <w:r>
              <w:rPr>
                <w:rFonts w:ascii="Arial Black" w:hAnsi="Arial Black"/>
              </w:rPr>
              <w:t>Ward Councillors notified:</w:t>
            </w:r>
          </w:p>
          <w:p w:rsidR="00A51FAE" w:rsidRPr="00A50388" w:rsidRDefault="00A50388" w:rsidP="009944BA">
            <w:pPr>
              <w:pStyle w:val="Infotext"/>
              <w:ind w:left="360"/>
              <w:rPr>
                <w:b/>
                <w:color w:val="FF0000"/>
              </w:rPr>
            </w:pPr>
            <w:r w:rsidRPr="009944BA">
              <w:rPr>
                <w:b/>
              </w:rPr>
              <w:t>MANDATORY</w:t>
            </w:r>
          </w:p>
        </w:tc>
        <w:tc>
          <w:tcPr>
            <w:tcW w:w="1975" w:type="pct"/>
            <w:tcBorders>
              <w:left w:val="nil"/>
            </w:tcBorders>
          </w:tcPr>
          <w:p w:rsidR="00A51FAE" w:rsidRDefault="00A51FAE" w:rsidP="009944BA">
            <w:pPr>
              <w:pStyle w:val="Infotext"/>
              <w:ind w:left="360"/>
            </w:pPr>
          </w:p>
          <w:p w:rsidR="00A51FAE" w:rsidRPr="00A406F3" w:rsidRDefault="00DF682F" w:rsidP="009944BA">
            <w:pPr>
              <w:pStyle w:val="Infotext"/>
              <w:ind w:left="360"/>
              <w:rPr>
                <w:b/>
              </w:rPr>
            </w:pPr>
            <w:r>
              <w:rPr>
                <w:b/>
              </w:rPr>
              <w:t>NO</w:t>
            </w:r>
          </w:p>
          <w:p w:rsidR="00A51FAE" w:rsidRDefault="00A51FAE" w:rsidP="009944BA">
            <w:pPr>
              <w:pStyle w:val="Infotext"/>
              <w:ind w:left="60"/>
              <w:rPr>
                <w:i/>
                <w:sz w:val="24"/>
                <w:szCs w:val="24"/>
              </w:rPr>
            </w:pPr>
          </w:p>
          <w:p w:rsidR="00A51FAE" w:rsidRPr="003D78F6" w:rsidRDefault="00A51FAE" w:rsidP="009944BA">
            <w:pPr>
              <w:pStyle w:val="Infotext"/>
              <w:ind w:left="173"/>
              <w:rPr>
                <w:i/>
                <w:sz w:val="24"/>
                <w:szCs w:val="24"/>
              </w:rPr>
            </w:pPr>
          </w:p>
        </w:tc>
      </w:tr>
    </w:tbl>
    <w:p w:rsidR="00A51FAE" w:rsidRPr="00A51FAE" w:rsidRDefault="00A51FAE" w:rsidP="009944BA">
      <w:pPr>
        <w:rPr>
          <w:szCs w:val="24"/>
        </w:rPr>
      </w:pPr>
    </w:p>
    <w:p w:rsidR="002A2389" w:rsidRDefault="002A2389" w:rsidP="009944BA">
      <w:pPr>
        <w:pStyle w:val="Heading1"/>
        <w:keepNext/>
        <w:ind w:left="360"/>
      </w:pPr>
      <w:r>
        <w:t>Section 4 - Contact Details and Background Papers</w:t>
      </w:r>
    </w:p>
    <w:p w:rsidR="002A2389" w:rsidRDefault="002A2389" w:rsidP="009944BA"/>
    <w:p w:rsidR="00DF682F" w:rsidRDefault="002A2389" w:rsidP="00DF682F">
      <w:pPr>
        <w:pStyle w:val="Infotext"/>
        <w:ind w:left="360" w:right="-55"/>
        <w:rPr>
          <w:rFonts w:cs="Arial"/>
          <w:sz w:val="24"/>
        </w:rPr>
      </w:pPr>
      <w:r w:rsidRPr="00D914D2">
        <w:rPr>
          <w:b/>
        </w:rPr>
        <w:t>Contact:</w:t>
      </w:r>
      <w:r w:rsidR="00DF682F">
        <w:t xml:space="preserve"> </w:t>
      </w:r>
      <w:r w:rsidR="004116CA">
        <w:rPr>
          <w:rFonts w:cs="Arial"/>
          <w:sz w:val="24"/>
        </w:rPr>
        <w:t xml:space="preserve">Johanna Morgan, Divisional Director People Services, </w:t>
      </w:r>
    </w:p>
    <w:p w:rsidR="002A2389" w:rsidRDefault="004116CA" w:rsidP="00DF682F">
      <w:pPr>
        <w:pStyle w:val="Infotext"/>
        <w:ind w:left="360" w:right="-55"/>
      </w:pPr>
      <w:r>
        <w:rPr>
          <w:rFonts w:cs="Arial"/>
          <w:sz w:val="24"/>
        </w:rPr>
        <w:t>020 8736 6841</w:t>
      </w:r>
    </w:p>
    <w:p w:rsidR="002A2389" w:rsidRDefault="002A2389" w:rsidP="009944BA"/>
    <w:p w:rsidR="002A2389" w:rsidRDefault="002A2389" w:rsidP="009944BA">
      <w:pPr>
        <w:pStyle w:val="Infotext"/>
        <w:ind w:left="360"/>
      </w:pPr>
      <w:r w:rsidRPr="00D914D2">
        <w:rPr>
          <w:b/>
        </w:rPr>
        <w:t>Background Papers</w:t>
      </w:r>
      <w:r w:rsidR="00DF682F">
        <w:t xml:space="preserve">: </w:t>
      </w:r>
      <w:r w:rsidR="004116CA">
        <w:rPr>
          <w:rFonts w:cs="Arial"/>
          <w:sz w:val="24"/>
        </w:rPr>
        <w:t>None</w:t>
      </w:r>
    </w:p>
    <w:p w:rsidR="002A2389" w:rsidRDefault="002A2389" w:rsidP="009944BA"/>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2" w:rsidRDefault="00FF30F2">
      <w:r>
        <w:separator/>
      </w:r>
    </w:p>
  </w:endnote>
  <w:endnote w:type="continuationSeparator" w:id="0">
    <w:p w:rsidR="00FF30F2" w:rsidRDefault="00F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2" w:rsidRDefault="00FF30F2">
      <w:r>
        <w:separator/>
      </w:r>
    </w:p>
  </w:footnote>
  <w:footnote w:type="continuationSeparator" w:id="0">
    <w:p w:rsidR="00FF30F2" w:rsidRDefault="00FF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65B60"/>
    <w:multiLevelType w:val="hybridMultilevel"/>
    <w:tmpl w:val="38CC3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D711F8"/>
    <w:multiLevelType w:val="hybridMultilevel"/>
    <w:tmpl w:val="29FA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84FBF"/>
    <w:multiLevelType w:val="hybridMultilevel"/>
    <w:tmpl w:val="4AEEE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FE1A69"/>
    <w:multiLevelType w:val="hybridMultilevel"/>
    <w:tmpl w:val="DEE0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852F3"/>
    <w:multiLevelType w:val="hybridMultilevel"/>
    <w:tmpl w:val="0A28F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BF72B5"/>
    <w:multiLevelType w:val="hybridMultilevel"/>
    <w:tmpl w:val="CA8E36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C3B2E"/>
    <w:multiLevelType w:val="hybridMultilevel"/>
    <w:tmpl w:val="4A40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374347"/>
    <w:multiLevelType w:val="hybridMultilevel"/>
    <w:tmpl w:val="90E2B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C44CBB"/>
    <w:multiLevelType w:val="hybridMultilevel"/>
    <w:tmpl w:val="BE86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2D243E"/>
    <w:multiLevelType w:val="hybridMultilevel"/>
    <w:tmpl w:val="24C8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22EA2"/>
    <w:multiLevelType w:val="hybridMultilevel"/>
    <w:tmpl w:val="8F427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0458FA"/>
    <w:multiLevelType w:val="hybridMultilevel"/>
    <w:tmpl w:val="71A424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2601C"/>
    <w:multiLevelType w:val="hybridMultilevel"/>
    <w:tmpl w:val="DB2231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C9688C"/>
    <w:multiLevelType w:val="hybridMultilevel"/>
    <w:tmpl w:val="B2EA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nsid w:val="45701173"/>
    <w:multiLevelType w:val="hybridMultilevel"/>
    <w:tmpl w:val="4C9EC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61E3892"/>
    <w:multiLevelType w:val="hybridMultilevel"/>
    <w:tmpl w:val="DD94F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A1700A"/>
    <w:multiLevelType w:val="hybridMultilevel"/>
    <w:tmpl w:val="246A7BF2"/>
    <w:lvl w:ilvl="0" w:tplc="9A82F5F8">
      <w:start w:val="1"/>
      <w:numFmt w:val="bullet"/>
      <w:lvlText w:val="•"/>
      <w:lvlJc w:val="left"/>
      <w:pPr>
        <w:tabs>
          <w:tab w:val="num" w:pos="720"/>
        </w:tabs>
        <w:ind w:left="720" w:hanging="360"/>
      </w:pPr>
      <w:rPr>
        <w:rFonts w:ascii="Arial" w:hAnsi="Arial" w:hint="default"/>
      </w:rPr>
    </w:lvl>
    <w:lvl w:ilvl="1" w:tplc="C85CF172" w:tentative="1">
      <w:start w:val="1"/>
      <w:numFmt w:val="bullet"/>
      <w:lvlText w:val="•"/>
      <w:lvlJc w:val="left"/>
      <w:pPr>
        <w:tabs>
          <w:tab w:val="num" w:pos="1440"/>
        </w:tabs>
        <w:ind w:left="1440" w:hanging="360"/>
      </w:pPr>
      <w:rPr>
        <w:rFonts w:ascii="Arial" w:hAnsi="Arial" w:hint="default"/>
      </w:rPr>
    </w:lvl>
    <w:lvl w:ilvl="2" w:tplc="2996B5EC" w:tentative="1">
      <w:start w:val="1"/>
      <w:numFmt w:val="bullet"/>
      <w:lvlText w:val="•"/>
      <w:lvlJc w:val="left"/>
      <w:pPr>
        <w:tabs>
          <w:tab w:val="num" w:pos="2160"/>
        </w:tabs>
        <w:ind w:left="2160" w:hanging="360"/>
      </w:pPr>
      <w:rPr>
        <w:rFonts w:ascii="Arial" w:hAnsi="Arial" w:hint="default"/>
      </w:rPr>
    </w:lvl>
    <w:lvl w:ilvl="3" w:tplc="96A26B44" w:tentative="1">
      <w:start w:val="1"/>
      <w:numFmt w:val="bullet"/>
      <w:lvlText w:val="•"/>
      <w:lvlJc w:val="left"/>
      <w:pPr>
        <w:tabs>
          <w:tab w:val="num" w:pos="2880"/>
        </w:tabs>
        <w:ind w:left="2880" w:hanging="360"/>
      </w:pPr>
      <w:rPr>
        <w:rFonts w:ascii="Arial" w:hAnsi="Arial" w:hint="default"/>
      </w:rPr>
    </w:lvl>
    <w:lvl w:ilvl="4" w:tplc="89368104" w:tentative="1">
      <w:start w:val="1"/>
      <w:numFmt w:val="bullet"/>
      <w:lvlText w:val="•"/>
      <w:lvlJc w:val="left"/>
      <w:pPr>
        <w:tabs>
          <w:tab w:val="num" w:pos="3600"/>
        </w:tabs>
        <w:ind w:left="3600" w:hanging="360"/>
      </w:pPr>
      <w:rPr>
        <w:rFonts w:ascii="Arial" w:hAnsi="Arial" w:hint="default"/>
      </w:rPr>
    </w:lvl>
    <w:lvl w:ilvl="5" w:tplc="02688BFE" w:tentative="1">
      <w:start w:val="1"/>
      <w:numFmt w:val="bullet"/>
      <w:lvlText w:val="•"/>
      <w:lvlJc w:val="left"/>
      <w:pPr>
        <w:tabs>
          <w:tab w:val="num" w:pos="4320"/>
        </w:tabs>
        <w:ind w:left="4320" w:hanging="360"/>
      </w:pPr>
      <w:rPr>
        <w:rFonts w:ascii="Arial" w:hAnsi="Arial" w:hint="default"/>
      </w:rPr>
    </w:lvl>
    <w:lvl w:ilvl="6" w:tplc="1CAA0F54" w:tentative="1">
      <w:start w:val="1"/>
      <w:numFmt w:val="bullet"/>
      <w:lvlText w:val="•"/>
      <w:lvlJc w:val="left"/>
      <w:pPr>
        <w:tabs>
          <w:tab w:val="num" w:pos="5040"/>
        </w:tabs>
        <w:ind w:left="5040" w:hanging="360"/>
      </w:pPr>
      <w:rPr>
        <w:rFonts w:ascii="Arial" w:hAnsi="Arial" w:hint="default"/>
      </w:rPr>
    </w:lvl>
    <w:lvl w:ilvl="7" w:tplc="58DE9DEA" w:tentative="1">
      <w:start w:val="1"/>
      <w:numFmt w:val="bullet"/>
      <w:lvlText w:val="•"/>
      <w:lvlJc w:val="left"/>
      <w:pPr>
        <w:tabs>
          <w:tab w:val="num" w:pos="5760"/>
        </w:tabs>
        <w:ind w:left="5760" w:hanging="360"/>
      </w:pPr>
      <w:rPr>
        <w:rFonts w:ascii="Arial" w:hAnsi="Arial" w:hint="default"/>
      </w:rPr>
    </w:lvl>
    <w:lvl w:ilvl="8" w:tplc="87B83C7C" w:tentative="1">
      <w:start w:val="1"/>
      <w:numFmt w:val="bullet"/>
      <w:lvlText w:val="•"/>
      <w:lvlJc w:val="left"/>
      <w:pPr>
        <w:tabs>
          <w:tab w:val="num" w:pos="6480"/>
        </w:tabs>
        <w:ind w:left="6480" w:hanging="360"/>
      </w:pPr>
      <w:rPr>
        <w:rFonts w:ascii="Arial" w:hAnsi="Arial" w:hint="default"/>
      </w:rPr>
    </w:lvl>
  </w:abstractNum>
  <w:abstractNum w:abstractNumId="25">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E74D66"/>
    <w:multiLevelType w:val="hybridMultilevel"/>
    <w:tmpl w:val="236C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5474BE"/>
    <w:multiLevelType w:val="hybridMultilevel"/>
    <w:tmpl w:val="D1B0E6B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BC63D5"/>
    <w:multiLevelType w:val="hybridMultilevel"/>
    <w:tmpl w:val="7E8E9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5733268"/>
    <w:multiLevelType w:val="hybridMultilevel"/>
    <w:tmpl w:val="0D54B8C4"/>
    <w:lvl w:ilvl="0" w:tplc="E5A68F76">
      <w:start w:val="1"/>
      <w:numFmt w:val="bullet"/>
      <w:lvlText w:val="•"/>
      <w:lvlJc w:val="left"/>
      <w:pPr>
        <w:tabs>
          <w:tab w:val="num" w:pos="720"/>
        </w:tabs>
        <w:ind w:left="720" w:hanging="360"/>
      </w:pPr>
      <w:rPr>
        <w:rFonts w:ascii="Arial" w:hAnsi="Arial" w:hint="default"/>
      </w:rPr>
    </w:lvl>
    <w:lvl w:ilvl="1" w:tplc="25744D84">
      <w:start w:val="1385"/>
      <w:numFmt w:val="bullet"/>
      <w:lvlText w:val="–"/>
      <w:lvlJc w:val="left"/>
      <w:pPr>
        <w:tabs>
          <w:tab w:val="num" w:pos="1440"/>
        </w:tabs>
        <w:ind w:left="1440" w:hanging="360"/>
      </w:pPr>
      <w:rPr>
        <w:rFonts w:ascii="Arial" w:hAnsi="Arial" w:hint="default"/>
      </w:rPr>
    </w:lvl>
    <w:lvl w:ilvl="2" w:tplc="29562EF4" w:tentative="1">
      <w:start w:val="1"/>
      <w:numFmt w:val="bullet"/>
      <w:lvlText w:val="•"/>
      <w:lvlJc w:val="left"/>
      <w:pPr>
        <w:tabs>
          <w:tab w:val="num" w:pos="2160"/>
        </w:tabs>
        <w:ind w:left="2160" w:hanging="360"/>
      </w:pPr>
      <w:rPr>
        <w:rFonts w:ascii="Arial" w:hAnsi="Arial" w:hint="default"/>
      </w:rPr>
    </w:lvl>
    <w:lvl w:ilvl="3" w:tplc="B74ED69E" w:tentative="1">
      <w:start w:val="1"/>
      <w:numFmt w:val="bullet"/>
      <w:lvlText w:val="•"/>
      <w:lvlJc w:val="left"/>
      <w:pPr>
        <w:tabs>
          <w:tab w:val="num" w:pos="2880"/>
        </w:tabs>
        <w:ind w:left="2880" w:hanging="360"/>
      </w:pPr>
      <w:rPr>
        <w:rFonts w:ascii="Arial" w:hAnsi="Arial" w:hint="default"/>
      </w:rPr>
    </w:lvl>
    <w:lvl w:ilvl="4" w:tplc="0E201EAC" w:tentative="1">
      <w:start w:val="1"/>
      <w:numFmt w:val="bullet"/>
      <w:lvlText w:val="•"/>
      <w:lvlJc w:val="left"/>
      <w:pPr>
        <w:tabs>
          <w:tab w:val="num" w:pos="3600"/>
        </w:tabs>
        <w:ind w:left="3600" w:hanging="360"/>
      </w:pPr>
      <w:rPr>
        <w:rFonts w:ascii="Arial" w:hAnsi="Arial" w:hint="default"/>
      </w:rPr>
    </w:lvl>
    <w:lvl w:ilvl="5" w:tplc="067E5104" w:tentative="1">
      <w:start w:val="1"/>
      <w:numFmt w:val="bullet"/>
      <w:lvlText w:val="•"/>
      <w:lvlJc w:val="left"/>
      <w:pPr>
        <w:tabs>
          <w:tab w:val="num" w:pos="4320"/>
        </w:tabs>
        <w:ind w:left="4320" w:hanging="360"/>
      </w:pPr>
      <w:rPr>
        <w:rFonts w:ascii="Arial" w:hAnsi="Arial" w:hint="default"/>
      </w:rPr>
    </w:lvl>
    <w:lvl w:ilvl="6" w:tplc="8E1418D2" w:tentative="1">
      <w:start w:val="1"/>
      <w:numFmt w:val="bullet"/>
      <w:lvlText w:val="•"/>
      <w:lvlJc w:val="left"/>
      <w:pPr>
        <w:tabs>
          <w:tab w:val="num" w:pos="5040"/>
        </w:tabs>
        <w:ind w:left="5040" w:hanging="360"/>
      </w:pPr>
      <w:rPr>
        <w:rFonts w:ascii="Arial" w:hAnsi="Arial" w:hint="default"/>
      </w:rPr>
    </w:lvl>
    <w:lvl w:ilvl="7" w:tplc="7F42A94E" w:tentative="1">
      <w:start w:val="1"/>
      <w:numFmt w:val="bullet"/>
      <w:lvlText w:val="•"/>
      <w:lvlJc w:val="left"/>
      <w:pPr>
        <w:tabs>
          <w:tab w:val="num" w:pos="5760"/>
        </w:tabs>
        <w:ind w:left="5760" w:hanging="360"/>
      </w:pPr>
      <w:rPr>
        <w:rFonts w:ascii="Arial" w:hAnsi="Arial" w:hint="default"/>
      </w:rPr>
    </w:lvl>
    <w:lvl w:ilvl="8" w:tplc="B1DCB24E" w:tentative="1">
      <w:start w:val="1"/>
      <w:numFmt w:val="bullet"/>
      <w:lvlText w:val="•"/>
      <w:lvlJc w:val="left"/>
      <w:pPr>
        <w:tabs>
          <w:tab w:val="num" w:pos="6480"/>
        </w:tabs>
        <w:ind w:left="6480" w:hanging="360"/>
      </w:pPr>
      <w:rPr>
        <w:rFonts w:ascii="Arial" w:hAnsi="Arial" w:hint="default"/>
      </w:rPr>
    </w:lvl>
  </w:abstractNum>
  <w:abstractNum w:abstractNumId="3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4274B4"/>
    <w:multiLevelType w:val="hybridMultilevel"/>
    <w:tmpl w:val="113ED4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5336433"/>
    <w:multiLevelType w:val="hybridMultilevel"/>
    <w:tmpl w:val="AB4AA8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773E514B"/>
    <w:multiLevelType w:val="hybridMultilevel"/>
    <w:tmpl w:val="C1B84690"/>
    <w:lvl w:ilvl="0" w:tplc="770A5F94">
      <w:start w:val="1"/>
      <w:numFmt w:val="bullet"/>
      <w:lvlText w:val="•"/>
      <w:lvlJc w:val="left"/>
      <w:pPr>
        <w:tabs>
          <w:tab w:val="num" w:pos="720"/>
        </w:tabs>
        <w:ind w:left="720" w:hanging="360"/>
      </w:pPr>
      <w:rPr>
        <w:rFonts w:ascii="Arial" w:hAnsi="Arial" w:hint="default"/>
      </w:rPr>
    </w:lvl>
    <w:lvl w:ilvl="1" w:tplc="49E64CA0">
      <w:start w:val="840"/>
      <w:numFmt w:val="bullet"/>
      <w:lvlText w:val="–"/>
      <w:lvlJc w:val="left"/>
      <w:pPr>
        <w:tabs>
          <w:tab w:val="num" w:pos="1440"/>
        </w:tabs>
        <w:ind w:left="1440" w:hanging="360"/>
      </w:pPr>
      <w:rPr>
        <w:rFonts w:ascii="Arial" w:hAnsi="Arial" w:hint="default"/>
      </w:rPr>
    </w:lvl>
    <w:lvl w:ilvl="2" w:tplc="0A86F698" w:tentative="1">
      <w:start w:val="1"/>
      <w:numFmt w:val="bullet"/>
      <w:lvlText w:val="•"/>
      <w:lvlJc w:val="left"/>
      <w:pPr>
        <w:tabs>
          <w:tab w:val="num" w:pos="2160"/>
        </w:tabs>
        <w:ind w:left="2160" w:hanging="360"/>
      </w:pPr>
      <w:rPr>
        <w:rFonts w:ascii="Arial" w:hAnsi="Arial" w:hint="default"/>
      </w:rPr>
    </w:lvl>
    <w:lvl w:ilvl="3" w:tplc="D2A45CD4" w:tentative="1">
      <w:start w:val="1"/>
      <w:numFmt w:val="bullet"/>
      <w:lvlText w:val="•"/>
      <w:lvlJc w:val="left"/>
      <w:pPr>
        <w:tabs>
          <w:tab w:val="num" w:pos="2880"/>
        </w:tabs>
        <w:ind w:left="2880" w:hanging="360"/>
      </w:pPr>
      <w:rPr>
        <w:rFonts w:ascii="Arial" w:hAnsi="Arial" w:hint="default"/>
      </w:rPr>
    </w:lvl>
    <w:lvl w:ilvl="4" w:tplc="A7A4CE36" w:tentative="1">
      <w:start w:val="1"/>
      <w:numFmt w:val="bullet"/>
      <w:lvlText w:val="•"/>
      <w:lvlJc w:val="left"/>
      <w:pPr>
        <w:tabs>
          <w:tab w:val="num" w:pos="3600"/>
        </w:tabs>
        <w:ind w:left="3600" w:hanging="360"/>
      </w:pPr>
      <w:rPr>
        <w:rFonts w:ascii="Arial" w:hAnsi="Arial" w:hint="default"/>
      </w:rPr>
    </w:lvl>
    <w:lvl w:ilvl="5" w:tplc="A85085DC" w:tentative="1">
      <w:start w:val="1"/>
      <w:numFmt w:val="bullet"/>
      <w:lvlText w:val="•"/>
      <w:lvlJc w:val="left"/>
      <w:pPr>
        <w:tabs>
          <w:tab w:val="num" w:pos="4320"/>
        </w:tabs>
        <w:ind w:left="4320" w:hanging="360"/>
      </w:pPr>
      <w:rPr>
        <w:rFonts w:ascii="Arial" w:hAnsi="Arial" w:hint="default"/>
      </w:rPr>
    </w:lvl>
    <w:lvl w:ilvl="6" w:tplc="DC3A34FA" w:tentative="1">
      <w:start w:val="1"/>
      <w:numFmt w:val="bullet"/>
      <w:lvlText w:val="•"/>
      <w:lvlJc w:val="left"/>
      <w:pPr>
        <w:tabs>
          <w:tab w:val="num" w:pos="5040"/>
        </w:tabs>
        <w:ind w:left="5040" w:hanging="360"/>
      </w:pPr>
      <w:rPr>
        <w:rFonts w:ascii="Arial" w:hAnsi="Arial" w:hint="default"/>
      </w:rPr>
    </w:lvl>
    <w:lvl w:ilvl="7" w:tplc="D700A1C0" w:tentative="1">
      <w:start w:val="1"/>
      <w:numFmt w:val="bullet"/>
      <w:lvlText w:val="•"/>
      <w:lvlJc w:val="left"/>
      <w:pPr>
        <w:tabs>
          <w:tab w:val="num" w:pos="5760"/>
        </w:tabs>
        <w:ind w:left="5760" w:hanging="360"/>
      </w:pPr>
      <w:rPr>
        <w:rFonts w:ascii="Arial" w:hAnsi="Arial" w:hint="default"/>
      </w:rPr>
    </w:lvl>
    <w:lvl w:ilvl="8" w:tplc="BBA2E1C6" w:tentative="1">
      <w:start w:val="1"/>
      <w:numFmt w:val="bullet"/>
      <w:lvlText w:val="•"/>
      <w:lvlJc w:val="left"/>
      <w:pPr>
        <w:tabs>
          <w:tab w:val="num" w:pos="6480"/>
        </w:tabs>
        <w:ind w:left="6480" w:hanging="360"/>
      </w:pPr>
      <w:rPr>
        <w:rFonts w:ascii="Arial" w:hAnsi="Arial" w:hint="default"/>
      </w:rPr>
    </w:lvl>
  </w:abstractNum>
  <w:abstractNum w:abstractNumId="36">
    <w:nsid w:val="799D5559"/>
    <w:multiLevelType w:val="hybridMultilevel"/>
    <w:tmpl w:val="FD2E9C1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DE3164"/>
    <w:multiLevelType w:val="hybridMultilevel"/>
    <w:tmpl w:val="1B14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2B2407"/>
    <w:multiLevelType w:val="hybridMultilevel"/>
    <w:tmpl w:val="CAA83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B50E17"/>
    <w:multiLevelType w:val="hybridMultilevel"/>
    <w:tmpl w:val="8BE6855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3"/>
  </w:num>
  <w:num w:numId="3">
    <w:abstractNumId w:val="3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3"/>
  </w:num>
  <w:num w:numId="9">
    <w:abstractNumId w:val="28"/>
  </w:num>
  <w:num w:numId="10">
    <w:abstractNumId w:val="39"/>
  </w:num>
  <w:num w:numId="11">
    <w:abstractNumId w:val="25"/>
  </w:num>
  <w:num w:numId="12">
    <w:abstractNumId w:val="2"/>
  </w:num>
  <w:num w:numId="13">
    <w:abstractNumId w:val="10"/>
  </w:num>
  <w:num w:numId="14">
    <w:abstractNumId w:val="33"/>
  </w:num>
  <w:num w:numId="15">
    <w:abstractNumId w:val="34"/>
  </w:num>
  <w:num w:numId="16">
    <w:abstractNumId w:val="19"/>
  </w:num>
  <w:num w:numId="17">
    <w:abstractNumId w:val="0"/>
  </w:num>
  <w:num w:numId="18">
    <w:abstractNumId w:val="35"/>
  </w:num>
  <w:num w:numId="19">
    <w:abstractNumId w:val="31"/>
  </w:num>
  <w:num w:numId="20">
    <w:abstractNumId w:val="18"/>
  </w:num>
  <w:num w:numId="21">
    <w:abstractNumId w:val="24"/>
  </w:num>
  <w:num w:numId="22">
    <w:abstractNumId w:val="11"/>
  </w:num>
  <w:num w:numId="23">
    <w:abstractNumId w:val="6"/>
  </w:num>
  <w:num w:numId="24">
    <w:abstractNumId w:val="21"/>
  </w:num>
  <w:num w:numId="25">
    <w:abstractNumId w:val="14"/>
  </w:num>
  <w:num w:numId="26">
    <w:abstractNumId w:val="4"/>
  </w:num>
  <w:num w:numId="27">
    <w:abstractNumId w:val="26"/>
  </w:num>
  <w:num w:numId="28">
    <w:abstractNumId w:val="22"/>
  </w:num>
  <w:num w:numId="29">
    <w:abstractNumId w:val="17"/>
  </w:num>
  <w:num w:numId="30">
    <w:abstractNumId w:val="37"/>
  </w:num>
  <w:num w:numId="31">
    <w:abstractNumId w:val="15"/>
  </w:num>
  <w:num w:numId="32">
    <w:abstractNumId w:val="36"/>
  </w:num>
  <w:num w:numId="33">
    <w:abstractNumId w:val="29"/>
  </w:num>
  <w:num w:numId="34">
    <w:abstractNumId w:val="9"/>
  </w:num>
  <w:num w:numId="35">
    <w:abstractNumId w:val="7"/>
  </w:num>
  <w:num w:numId="36">
    <w:abstractNumId w:val="13"/>
  </w:num>
  <w:num w:numId="37">
    <w:abstractNumId w:val="40"/>
  </w:num>
  <w:num w:numId="38">
    <w:abstractNumId w:val="27"/>
  </w:num>
  <w:num w:numId="39">
    <w:abstractNumId w:val="8"/>
  </w:num>
  <w:num w:numId="40">
    <w:abstractNumId w:val="38"/>
  </w:num>
  <w:num w:numId="41">
    <w:abstractNumId w:val="1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A0F62"/>
    <w:rsid w:val="000B6DBB"/>
    <w:rsid w:val="000D2BF2"/>
    <w:rsid w:val="000F65C0"/>
    <w:rsid w:val="00117A6D"/>
    <w:rsid w:val="00122491"/>
    <w:rsid w:val="001417FD"/>
    <w:rsid w:val="001939BA"/>
    <w:rsid w:val="001C5225"/>
    <w:rsid w:val="001E0219"/>
    <w:rsid w:val="001F341E"/>
    <w:rsid w:val="00231A1D"/>
    <w:rsid w:val="00296F20"/>
    <w:rsid w:val="002A2389"/>
    <w:rsid w:val="002B3C43"/>
    <w:rsid w:val="002C08E2"/>
    <w:rsid w:val="002C1794"/>
    <w:rsid w:val="002E77E3"/>
    <w:rsid w:val="003115B3"/>
    <w:rsid w:val="00357AC1"/>
    <w:rsid w:val="003B6B15"/>
    <w:rsid w:val="003C0B16"/>
    <w:rsid w:val="003C4125"/>
    <w:rsid w:val="003F5A1D"/>
    <w:rsid w:val="004116CA"/>
    <w:rsid w:val="004213D7"/>
    <w:rsid w:val="0042394B"/>
    <w:rsid w:val="00473B08"/>
    <w:rsid w:val="00474B5F"/>
    <w:rsid w:val="00486BE5"/>
    <w:rsid w:val="004B2C9D"/>
    <w:rsid w:val="004C2D29"/>
    <w:rsid w:val="004D5D86"/>
    <w:rsid w:val="004E667D"/>
    <w:rsid w:val="004E6AF9"/>
    <w:rsid w:val="00513FB9"/>
    <w:rsid w:val="0052316B"/>
    <w:rsid w:val="0054213D"/>
    <w:rsid w:val="0055195B"/>
    <w:rsid w:val="005861B4"/>
    <w:rsid w:val="005874F0"/>
    <w:rsid w:val="005D4ADF"/>
    <w:rsid w:val="005E384D"/>
    <w:rsid w:val="005F2181"/>
    <w:rsid w:val="005F724B"/>
    <w:rsid w:val="0063072B"/>
    <w:rsid w:val="00634056"/>
    <w:rsid w:val="0063618B"/>
    <w:rsid w:val="006465F6"/>
    <w:rsid w:val="00650476"/>
    <w:rsid w:val="00662891"/>
    <w:rsid w:val="006679D3"/>
    <w:rsid w:val="006759ED"/>
    <w:rsid w:val="00675FCB"/>
    <w:rsid w:val="006C3914"/>
    <w:rsid w:val="006D2C51"/>
    <w:rsid w:val="006F0D41"/>
    <w:rsid w:val="00731E89"/>
    <w:rsid w:val="0074184E"/>
    <w:rsid w:val="00753D70"/>
    <w:rsid w:val="00755F8D"/>
    <w:rsid w:val="00796503"/>
    <w:rsid w:val="007A6633"/>
    <w:rsid w:val="007C19E1"/>
    <w:rsid w:val="007D56C8"/>
    <w:rsid w:val="007E7303"/>
    <w:rsid w:val="007F778C"/>
    <w:rsid w:val="007F7B2F"/>
    <w:rsid w:val="00803162"/>
    <w:rsid w:val="008136B1"/>
    <w:rsid w:val="008565BD"/>
    <w:rsid w:val="008B3B44"/>
    <w:rsid w:val="008D1750"/>
    <w:rsid w:val="008D6411"/>
    <w:rsid w:val="008E4913"/>
    <w:rsid w:val="008F4594"/>
    <w:rsid w:val="00900464"/>
    <w:rsid w:val="0090100E"/>
    <w:rsid w:val="0093767E"/>
    <w:rsid w:val="00972A02"/>
    <w:rsid w:val="009944BA"/>
    <w:rsid w:val="0099517C"/>
    <w:rsid w:val="009B2ECD"/>
    <w:rsid w:val="009B7914"/>
    <w:rsid w:val="009E6326"/>
    <w:rsid w:val="00A50388"/>
    <w:rsid w:val="00A51FAE"/>
    <w:rsid w:val="00A566E7"/>
    <w:rsid w:val="00A613C1"/>
    <w:rsid w:val="00A76A21"/>
    <w:rsid w:val="00A940D3"/>
    <w:rsid w:val="00A96FCA"/>
    <w:rsid w:val="00AA4BE8"/>
    <w:rsid w:val="00AC533E"/>
    <w:rsid w:val="00AC7BA9"/>
    <w:rsid w:val="00B0425E"/>
    <w:rsid w:val="00B2366F"/>
    <w:rsid w:val="00B31717"/>
    <w:rsid w:val="00B37EA8"/>
    <w:rsid w:val="00B92AA6"/>
    <w:rsid w:val="00B9498A"/>
    <w:rsid w:val="00BD684A"/>
    <w:rsid w:val="00BE1C78"/>
    <w:rsid w:val="00BF4563"/>
    <w:rsid w:val="00BF6C06"/>
    <w:rsid w:val="00C171C8"/>
    <w:rsid w:val="00C32DAE"/>
    <w:rsid w:val="00C40E24"/>
    <w:rsid w:val="00C82CEC"/>
    <w:rsid w:val="00C96EF5"/>
    <w:rsid w:val="00CB7A9C"/>
    <w:rsid w:val="00CD6015"/>
    <w:rsid w:val="00D32B51"/>
    <w:rsid w:val="00D34145"/>
    <w:rsid w:val="00D34668"/>
    <w:rsid w:val="00D3740E"/>
    <w:rsid w:val="00D82F57"/>
    <w:rsid w:val="00D841A5"/>
    <w:rsid w:val="00D914D2"/>
    <w:rsid w:val="00DA25DB"/>
    <w:rsid w:val="00DB39E5"/>
    <w:rsid w:val="00DD4251"/>
    <w:rsid w:val="00DF1CF1"/>
    <w:rsid w:val="00DF45E8"/>
    <w:rsid w:val="00DF48BB"/>
    <w:rsid w:val="00DF682F"/>
    <w:rsid w:val="00E02B50"/>
    <w:rsid w:val="00E03F11"/>
    <w:rsid w:val="00E06DC8"/>
    <w:rsid w:val="00E220B5"/>
    <w:rsid w:val="00EA6242"/>
    <w:rsid w:val="00ED3EF4"/>
    <w:rsid w:val="00EE0325"/>
    <w:rsid w:val="00F37C8A"/>
    <w:rsid w:val="00F4213B"/>
    <w:rsid w:val="00F66DED"/>
    <w:rsid w:val="00F76970"/>
    <w:rsid w:val="00F849ED"/>
    <w:rsid w:val="00F92398"/>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A50388"/>
    <w:pPr>
      <w:ind w:left="720"/>
    </w:pPr>
  </w:style>
  <w:style w:type="paragraph" w:customStyle="1" w:styleId="Default">
    <w:name w:val="Default"/>
    <w:rsid w:val="00CD6015"/>
    <w:pPr>
      <w:autoSpaceDE w:val="0"/>
      <w:autoSpaceDN w:val="0"/>
      <w:adjustRightInd w:val="0"/>
    </w:pPr>
    <w:rPr>
      <w:rFonts w:ascii="Calibri" w:eastAsia="Calibri" w:hAnsi="Calibri" w:cs="Calibri"/>
      <w:color w:val="000000"/>
      <w:sz w:val="24"/>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B7A9C"/>
    <w:rPr>
      <w:rFonts w:ascii="Arial" w:hAnsi="Arial"/>
      <w:sz w:val="24"/>
      <w:lang w:eastAsia="en-US"/>
    </w:rPr>
  </w:style>
  <w:style w:type="paragraph" w:styleId="NormalWeb">
    <w:name w:val="Normal (Web)"/>
    <w:basedOn w:val="Normal"/>
    <w:uiPriority w:val="99"/>
    <w:unhideWhenUsed/>
    <w:rsid w:val="00CB7A9C"/>
    <w:pPr>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A50388"/>
    <w:pPr>
      <w:ind w:left="720"/>
    </w:pPr>
  </w:style>
  <w:style w:type="paragraph" w:customStyle="1" w:styleId="Default">
    <w:name w:val="Default"/>
    <w:rsid w:val="00CD6015"/>
    <w:pPr>
      <w:autoSpaceDE w:val="0"/>
      <w:autoSpaceDN w:val="0"/>
      <w:adjustRightInd w:val="0"/>
    </w:pPr>
    <w:rPr>
      <w:rFonts w:ascii="Calibri" w:eastAsia="Calibri" w:hAnsi="Calibri" w:cs="Calibri"/>
      <w:color w:val="000000"/>
      <w:sz w:val="24"/>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B7A9C"/>
    <w:rPr>
      <w:rFonts w:ascii="Arial" w:hAnsi="Arial"/>
      <w:sz w:val="24"/>
      <w:lang w:eastAsia="en-US"/>
    </w:rPr>
  </w:style>
  <w:style w:type="paragraph" w:styleId="NormalWeb">
    <w:name w:val="Normal (Web)"/>
    <w:basedOn w:val="Normal"/>
    <w:uiPriority w:val="99"/>
    <w:unhideWhenUsed/>
    <w:rsid w:val="00CB7A9C"/>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5835">
      <w:bodyDiv w:val="1"/>
      <w:marLeft w:val="0"/>
      <w:marRight w:val="0"/>
      <w:marTop w:val="0"/>
      <w:marBottom w:val="0"/>
      <w:divBdr>
        <w:top w:val="none" w:sz="0" w:space="0" w:color="auto"/>
        <w:left w:val="none" w:sz="0" w:space="0" w:color="auto"/>
        <w:bottom w:val="none" w:sz="0" w:space="0" w:color="auto"/>
        <w:right w:val="none" w:sz="0" w:space="0" w:color="auto"/>
      </w:divBdr>
      <w:divsChild>
        <w:div w:id="1034383202">
          <w:marLeft w:val="547"/>
          <w:marRight w:val="0"/>
          <w:marTop w:val="110"/>
          <w:marBottom w:val="0"/>
          <w:divBdr>
            <w:top w:val="none" w:sz="0" w:space="0" w:color="auto"/>
            <w:left w:val="none" w:sz="0" w:space="0" w:color="auto"/>
            <w:bottom w:val="none" w:sz="0" w:space="0" w:color="auto"/>
            <w:right w:val="none" w:sz="0" w:space="0" w:color="auto"/>
          </w:divBdr>
        </w:div>
        <w:div w:id="600115325">
          <w:marLeft w:val="1166"/>
          <w:marRight w:val="0"/>
          <w:marTop w:val="91"/>
          <w:marBottom w:val="0"/>
          <w:divBdr>
            <w:top w:val="none" w:sz="0" w:space="0" w:color="auto"/>
            <w:left w:val="none" w:sz="0" w:space="0" w:color="auto"/>
            <w:bottom w:val="none" w:sz="0" w:space="0" w:color="auto"/>
            <w:right w:val="none" w:sz="0" w:space="0" w:color="auto"/>
          </w:divBdr>
        </w:div>
      </w:divsChild>
    </w:div>
    <w:div w:id="1729958162">
      <w:bodyDiv w:val="1"/>
      <w:marLeft w:val="0"/>
      <w:marRight w:val="0"/>
      <w:marTop w:val="0"/>
      <w:marBottom w:val="0"/>
      <w:divBdr>
        <w:top w:val="none" w:sz="0" w:space="0" w:color="auto"/>
        <w:left w:val="none" w:sz="0" w:space="0" w:color="auto"/>
        <w:bottom w:val="none" w:sz="0" w:space="0" w:color="auto"/>
        <w:right w:val="none" w:sz="0" w:space="0" w:color="auto"/>
      </w:divBdr>
      <w:divsChild>
        <w:div w:id="1292860405">
          <w:marLeft w:val="547"/>
          <w:marRight w:val="0"/>
          <w:marTop w:val="0"/>
          <w:marBottom w:val="0"/>
          <w:divBdr>
            <w:top w:val="none" w:sz="0" w:space="0" w:color="auto"/>
            <w:left w:val="none" w:sz="0" w:space="0" w:color="auto"/>
            <w:bottom w:val="none" w:sz="0" w:space="0" w:color="auto"/>
            <w:right w:val="none" w:sz="0" w:space="0" w:color="auto"/>
          </w:divBdr>
        </w:div>
        <w:div w:id="1518426099">
          <w:marLeft w:val="1166"/>
          <w:marRight w:val="0"/>
          <w:marTop w:val="0"/>
          <w:marBottom w:val="0"/>
          <w:divBdr>
            <w:top w:val="none" w:sz="0" w:space="0" w:color="auto"/>
            <w:left w:val="none" w:sz="0" w:space="0" w:color="auto"/>
            <w:bottom w:val="none" w:sz="0" w:space="0" w:color="auto"/>
            <w:right w:val="none" w:sz="0" w:space="0" w:color="auto"/>
          </w:divBdr>
        </w:div>
        <w:div w:id="787117474">
          <w:marLeft w:val="1166"/>
          <w:marRight w:val="0"/>
          <w:marTop w:val="0"/>
          <w:marBottom w:val="0"/>
          <w:divBdr>
            <w:top w:val="none" w:sz="0" w:space="0" w:color="auto"/>
            <w:left w:val="none" w:sz="0" w:space="0" w:color="auto"/>
            <w:bottom w:val="none" w:sz="0" w:space="0" w:color="auto"/>
            <w:right w:val="none" w:sz="0" w:space="0" w:color="auto"/>
          </w:divBdr>
        </w:div>
        <w:div w:id="951128311">
          <w:marLeft w:val="1166"/>
          <w:marRight w:val="0"/>
          <w:marTop w:val="0"/>
          <w:marBottom w:val="0"/>
          <w:divBdr>
            <w:top w:val="none" w:sz="0" w:space="0" w:color="auto"/>
            <w:left w:val="none" w:sz="0" w:space="0" w:color="auto"/>
            <w:bottom w:val="none" w:sz="0" w:space="0" w:color="auto"/>
            <w:right w:val="none" w:sz="0" w:space="0" w:color="auto"/>
          </w:divBdr>
        </w:div>
      </w:divsChild>
    </w:div>
    <w:div w:id="1775204865">
      <w:bodyDiv w:val="1"/>
      <w:marLeft w:val="0"/>
      <w:marRight w:val="0"/>
      <w:marTop w:val="0"/>
      <w:marBottom w:val="0"/>
      <w:divBdr>
        <w:top w:val="none" w:sz="0" w:space="0" w:color="auto"/>
        <w:left w:val="none" w:sz="0" w:space="0" w:color="auto"/>
        <w:bottom w:val="none" w:sz="0" w:space="0" w:color="auto"/>
        <w:right w:val="none" w:sz="0" w:space="0" w:color="auto"/>
      </w:divBdr>
      <w:divsChild>
        <w:div w:id="1372727195">
          <w:marLeft w:val="360"/>
          <w:marRight w:val="0"/>
          <w:marTop w:val="200"/>
          <w:marBottom w:val="0"/>
          <w:divBdr>
            <w:top w:val="none" w:sz="0" w:space="0" w:color="auto"/>
            <w:left w:val="none" w:sz="0" w:space="0" w:color="auto"/>
            <w:bottom w:val="none" w:sz="0" w:space="0" w:color="auto"/>
            <w:right w:val="none" w:sz="0" w:space="0" w:color="auto"/>
          </w:divBdr>
        </w:div>
        <w:div w:id="1247497344">
          <w:marLeft w:val="360"/>
          <w:marRight w:val="0"/>
          <w:marTop w:val="200"/>
          <w:marBottom w:val="0"/>
          <w:divBdr>
            <w:top w:val="none" w:sz="0" w:space="0" w:color="auto"/>
            <w:left w:val="none" w:sz="0" w:space="0" w:color="auto"/>
            <w:bottom w:val="none" w:sz="0" w:space="0" w:color="auto"/>
            <w:right w:val="none" w:sz="0" w:space="0" w:color="auto"/>
          </w:divBdr>
        </w:div>
        <w:div w:id="736515257">
          <w:marLeft w:val="360"/>
          <w:marRight w:val="0"/>
          <w:marTop w:val="200"/>
          <w:marBottom w:val="0"/>
          <w:divBdr>
            <w:top w:val="none" w:sz="0" w:space="0" w:color="auto"/>
            <w:left w:val="none" w:sz="0" w:space="0" w:color="auto"/>
            <w:bottom w:val="none" w:sz="0" w:space="0" w:color="auto"/>
            <w:right w:val="none" w:sz="0" w:space="0" w:color="auto"/>
          </w:divBdr>
        </w:div>
      </w:divsChild>
    </w:div>
    <w:div w:id="21337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2647</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17396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3</cp:revision>
  <cp:lastPrinted>2019-06-24T08:19:00Z</cp:lastPrinted>
  <dcterms:created xsi:type="dcterms:W3CDTF">2019-06-26T12:21:00Z</dcterms:created>
  <dcterms:modified xsi:type="dcterms:W3CDTF">2019-06-26T12:36:00Z</dcterms:modified>
</cp:coreProperties>
</file>